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169569694"/>
    <w:bookmarkStart w:id="1" w:name="_Toc200254731"/>
    <w:p w:rsidR="00F70F28" w:rsidRDefault="00002B4E">
      <w:pPr>
        <w:pStyle w:val="Obsah1"/>
        <w:rPr>
          <w:rFonts w:asciiTheme="minorHAnsi" w:eastAsiaTheme="minorEastAsia" w:hAnsiTheme="minorHAnsi" w:cstheme="minorBidi"/>
          <w:bCs w:val="0"/>
          <w:noProof/>
          <w:sz w:val="22"/>
          <w:szCs w:val="22"/>
        </w:rPr>
      </w:pPr>
      <w:r>
        <w:rPr>
          <w:rFonts w:cs="Calibri"/>
          <w:b/>
          <w:bCs w:val="0"/>
          <w:i/>
          <w:iCs/>
          <w:color w:val="FF0000"/>
        </w:rPr>
        <w:fldChar w:fldCharType="begin"/>
      </w:r>
      <w:r>
        <w:rPr>
          <w:rFonts w:cs="Calibri"/>
          <w:b/>
          <w:bCs w:val="0"/>
          <w:i/>
          <w:iCs/>
          <w:color w:val="FF0000"/>
        </w:rPr>
        <w:instrText xml:space="preserve"> TOC \o "1-2" \u </w:instrText>
      </w:r>
      <w:r>
        <w:rPr>
          <w:rFonts w:cs="Calibri"/>
          <w:b/>
          <w:bCs w:val="0"/>
          <w:i/>
          <w:iCs/>
          <w:color w:val="FF0000"/>
        </w:rPr>
        <w:fldChar w:fldCharType="separate"/>
      </w:r>
      <w:r w:rsidR="00F70F28" w:rsidRPr="00D33EE3">
        <w:rPr>
          <w:rFonts w:cs="Calibri"/>
          <w:noProof/>
        </w:rPr>
        <w:t>1.</w:t>
      </w:r>
      <w:r w:rsidR="00F70F28">
        <w:rPr>
          <w:rFonts w:asciiTheme="minorHAnsi" w:eastAsiaTheme="minorEastAsia" w:hAnsiTheme="minorHAnsi" w:cstheme="minorBidi"/>
          <w:bCs w:val="0"/>
          <w:noProof/>
          <w:sz w:val="22"/>
          <w:szCs w:val="22"/>
        </w:rPr>
        <w:tab/>
      </w:r>
      <w:r w:rsidR="00F70F28" w:rsidRPr="00D33EE3">
        <w:rPr>
          <w:rFonts w:cs="Calibri"/>
          <w:noProof/>
        </w:rPr>
        <w:t>POPIS ÚZEMÍ STAVBY</w:t>
      </w:r>
      <w:r w:rsidR="00F70F28">
        <w:rPr>
          <w:noProof/>
        </w:rPr>
        <w:tab/>
      </w:r>
      <w:r w:rsidR="00F70F28">
        <w:rPr>
          <w:noProof/>
        </w:rPr>
        <w:fldChar w:fldCharType="begin"/>
      </w:r>
      <w:r w:rsidR="00F70F28">
        <w:rPr>
          <w:noProof/>
        </w:rPr>
        <w:instrText xml:space="preserve"> PAGEREF _Toc27300951 \h </w:instrText>
      </w:r>
      <w:r w:rsidR="00F70F28">
        <w:rPr>
          <w:noProof/>
        </w:rPr>
      </w:r>
      <w:r w:rsidR="00F70F28">
        <w:rPr>
          <w:noProof/>
        </w:rPr>
        <w:fldChar w:fldCharType="separate"/>
      </w:r>
      <w:r w:rsidR="00F70F28">
        <w:rPr>
          <w:noProof/>
        </w:rPr>
        <w:t>- 3 -</w:t>
      </w:r>
      <w:r w:rsidR="00F70F28">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a)</w:t>
      </w:r>
      <w:r>
        <w:rPr>
          <w:rFonts w:asciiTheme="minorHAnsi" w:eastAsiaTheme="minorEastAsia" w:hAnsiTheme="minorHAnsi" w:cstheme="minorBidi"/>
          <w:bCs w:val="0"/>
          <w:noProof/>
          <w:sz w:val="22"/>
          <w:szCs w:val="22"/>
        </w:rPr>
        <w:tab/>
      </w:r>
      <w:r w:rsidRPr="00D33EE3">
        <w:rPr>
          <w:noProof/>
          <w:color w:val="7F7F7F"/>
        </w:rPr>
        <w:t>Charakteristika území a stavebního pozemku</w:t>
      </w:r>
      <w:r>
        <w:rPr>
          <w:noProof/>
        </w:rPr>
        <w:tab/>
      </w:r>
      <w:r>
        <w:rPr>
          <w:noProof/>
        </w:rPr>
        <w:fldChar w:fldCharType="begin"/>
      </w:r>
      <w:r>
        <w:rPr>
          <w:noProof/>
        </w:rPr>
        <w:instrText xml:space="preserve"> PAGEREF _Toc27300952 \h </w:instrText>
      </w:r>
      <w:r>
        <w:rPr>
          <w:noProof/>
        </w:rPr>
      </w:r>
      <w:r>
        <w:rPr>
          <w:noProof/>
        </w:rPr>
        <w:fldChar w:fldCharType="separate"/>
      </w:r>
      <w:r>
        <w:rPr>
          <w:noProof/>
        </w:rPr>
        <w:t>- 3 -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b)</w:t>
      </w:r>
      <w:r>
        <w:rPr>
          <w:rFonts w:asciiTheme="minorHAnsi" w:eastAsiaTheme="minorEastAsia" w:hAnsiTheme="minorHAnsi" w:cstheme="minorBidi"/>
          <w:bCs w:val="0"/>
          <w:noProof/>
          <w:sz w:val="22"/>
          <w:szCs w:val="22"/>
        </w:rPr>
        <w:tab/>
      </w:r>
      <w:r w:rsidRPr="00D33EE3">
        <w:rPr>
          <w:noProof/>
          <w:color w:val="7F7F7F"/>
        </w:rPr>
        <w:t>Údaje o souladu s územně plánovací dokumentací, cíli a úkoly územního plánování</w:t>
      </w:r>
      <w:r>
        <w:rPr>
          <w:noProof/>
        </w:rPr>
        <w:tab/>
      </w:r>
      <w:r>
        <w:rPr>
          <w:noProof/>
        </w:rPr>
        <w:fldChar w:fldCharType="begin"/>
      </w:r>
      <w:r>
        <w:rPr>
          <w:noProof/>
        </w:rPr>
        <w:instrText xml:space="preserve"> PAGEREF _Toc27300953 \h </w:instrText>
      </w:r>
      <w:r>
        <w:rPr>
          <w:noProof/>
        </w:rPr>
      </w:r>
      <w:r>
        <w:rPr>
          <w:noProof/>
        </w:rPr>
        <w:fldChar w:fldCharType="separate"/>
      </w:r>
      <w:r>
        <w:rPr>
          <w:noProof/>
        </w:rPr>
        <w:t>- 3 -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c)</w:t>
      </w:r>
      <w:r>
        <w:rPr>
          <w:rFonts w:asciiTheme="minorHAnsi" w:eastAsiaTheme="minorEastAsia" w:hAnsiTheme="minorHAnsi" w:cstheme="minorBidi"/>
          <w:bCs w:val="0"/>
          <w:noProof/>
          <w:sz w:val="22"/>
          <w:szCs w:val="22"/>
        </w:rPr>
        <w:tab/>
      </w:r>
      <w:r w:rsidRPr="00D33EE3">
        <w:rPr>
          <w:noProof/>
          <w:color w:val="7F7F7F"/>
        </w:rPr>
        <w:t>Geologická, geomorfologická a hydrogeologická charakteristika, včetně zdrojů nerostů a podzemních vod</w:t>
      </w:r>
      <w:r>
        <w:rPr>
          <w:noProof/>
        </w:rPr>
        <w:tab/>
      </w:r>
      <w:r>
        <w:rPr>
          <w:noProof/>
        </w:rPr>
        <w:fldChar w:fldCharType="begin"/>
      </w:r>
      <w:r>
        <w:rPr>
          <w:noProof/>
        </w:rPr>
        <w:instrText xml:space="preserve"> PAGEREF _Toc27300954 \h </w:instrText>
      </w:r>
      <w:r>
        <w:rPr>
          <w:noProof/>
        </w:rPr>
      </w:r>
      <w:r>
        <w:rPr>
          <w:noProof/>
        </w:rPr>
        <w:fldChar w:fldCharType="separate"/>
      </w:r>
      <w:r>
        <w:rPr>
          <w:noProof/>
        </w:rPr>
        <w:t>- 4 -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d)</w:t>
      </w:r>
      <w:r>
        <w:rPr>
          <w:rFonts w:asciiTheme="minorHAnsi" w:eastAsiaTheme="minorEastAsia" w:hAnsiTheme="minorHAnsi" w:cstheme="minorBidi"/>
          <w:bCs w:val="0"/>
          <w:noProof/>
          <w:sz w:val="22"/>
          <w:szCs w:val="22"/>
        </w:rPr>
        <w:tab/>
      </w:r>
      <w:r w:rsidRPr="00D33EE3">
        <w:rPr>
          <w:noProof/>
          <w:color w:val="7F7F7F"/>
        </w:rPr>
        <w:t>Výčet a závěry provedených průzkumů a rozborů (geologický průzkum, hydrogeologický průzkum, stavebně historický průzkum apod.)</w:t>
      </w:r>
      <w:r>
        <w:rPr>
          <w:noProof/>
        </w:rPr>
        <w:tab/>
      </w:r>
      <w:r>
        <w:rPr>
          <w:noProof/>
        </w:rPr>
        <w:fldChar w:fldCharType="begin"/>
      </w:r>
      <w:r>
        <w:rPr>
          <w:noProof/>
        </w:rPr>
        <w:instrText xml:space="preserve"> PAGEREF _Toc27300955 \h </w:instrText>
      </w:r>
      <w:r>
        <w:rPr>
          <w:noProof/>
        </w:rPr>
      </w:r>
      <w:r>
        <w:rPr>
          <w:noProof/>
        </w:rPr>
        <w:fldChar w:fldCharType="separate"/>
      </w:r>
      <w:r>
        <w:rPr>
          <w:noProof/>
        </w:rPr>
        <w:t>- 4 -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e)</w:t>
      </w:r>
      <w:r>
        <w:rPr>
          <w:rFonts w:asciiTheme="minorHAnsi" w:eastAsiaTheme="minorEastAsia" w:hAnsiTheme="minorHAnsi" w:cstheme="minorBidi"/>
          <w:bCs w:val="0"/>
          <w:noProof/>
          <w:sz w:val="22"/>
          <w:szCs w:val="22"/>
        </w:rPr>
        <w:tab/>
      </w:r>
      <w:r w:rsidRPr="00D33EE3">
        <w:rPr>
          <w:noProof/>
          <w:color w:val="7F7F7F"/>
        </w:rPr>
        <w:t>Ochrana území podle jiných právních předpisů</w:t>
      </w:r>
      <w:r>
        <w:rPr>
          <w:noProof/>
        </w:rPr>
        <w:tab/>
      </w:r>
      <w:r>
        <w:rPr>
          <w:noProof/>
        </w:rPr>
        <w:fldChar w:fldCharType="begin"/>
      </w:r>
      <w:r>
        <w:rPr>
          <w:noProof/>
        </w:rPr>
        <w:instrText xml:space="preserve"> PAGEREF _Toc27300956 \h </w:instrText>
      </w:r>
      <w:r>
        <w:rPr>
          <w:noProof/>
        </w:rPr>
      </w:r>
      <w:r>
        <w:rPr>
          <w:noProof/>
        </w:rPr>
        <w:fldChar w:fldCharType="separate"/>
      </w:r>
      <w:r>
        <w:rPr>
          <w:noProof/>
        </w:rPr>
        <w:t>- 5 -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f)</w:t>
      </w:r>
      <w:r>
        <w:rPr>
          <w:rFonts w:asciiTheme="minorHAnsi" w:eastAsiaTheme="minorEastAsia" w:hAnsiTheme="minorHAnsi" w:cstheme="minorBidi"/>
          <w:bCs w:val="0"/>
          <w:noProof/>
          <w:sz w:val="22"/>
          <w:szCs w:val="22"/>
        </w:rPr>
        <w:tab/>
      </w:r>
      <w:r w:rsidRPr="00D33EE3">
        <w:rPr>
          <w:noProof/>
          <w:color w:val="7F7F7F"/>
        </w:rPr>
        <w:t>Poloha vzhledem k záplavovému území, poddolovanému území apod.</w:t>
      </w:r>
      <w:r>
        <w:rPr>
          <w:noProof/>
        </w:rPr>
        <w:tab/>
      </w:r>
      <w:r>
        <w:rPr>
          <w:noProof/>
        </w:rPr>
        <w:fldChar w:fldCharType="begin"/>
      </w:r>
      <w:r>
        <w:rPr>
          <w:noProof/>
        </w:rPr>
        <w:instrText xml:space="preserve"> PAGEREF _Toc27300957 \h </w:instrText>
      </w:r>
      <w:r>
        <w:rPr>
          <w:noProof/>
        </w:rPr>
      </w:r>
      <w:r>
        <w:rPr>
          <w:noProof/>
        </w:rPr>
        <w:fldChar w:fldCharType="separate"/>
      </w:r>
      <w:r>
        <w:rPr>
          <w:noProof/>
        </w:rPr>
        <w:t>- 6 -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g)</w:t>
      </w:r>
      <w:r>
        <w:rPr>
          <w:rFonts w:asciiTheme="minorHAnsi" w:eastAsiaTheme="minorEastAsia" w:hAnsiTheme="minorHAnsi" w:cstheme="minorBidi"/>
          <w:bCs w:val="0"/>
          <w:noProof/>
          <w:sz w:val="22"/>
          <w:szCs w:val="22"/>
        </w:rPr>
        <w:tab/>
      </w:r>
      <w:r w:rsidRPr="00D33EE3">
        <w:rPr>
          <w:noProof/>
          <w:color w:val="7F7F7F"/>
        </w:rPr>
        <w:t>Vliv stavby na okolí stavby a pozemky, ochrana okolí, vliv stavby na odtokové poměry v území</w:t>
      </w:r>
      <w:r>
        <w:rPr>
          <w:noProof/>
        </w:rPr>
        <w:tab/>
      </w:r>
      <w:r>
        <w:rPr>
          <w:noProof/>
        </w:rPr>
        <w:fldChar w:fldCharType="begin"/>
      </w:r>
      <w:r>
        <w:rPr>
          <w:noProof/>
        </w:rPr>
        <w:instrText xml:space="preserve"> PAGEREF _Toc27300958 \h </w:instrText>
      </w:r>
      <w:r>
        <w:rPr>
          <w:noProof/>
        </w:rPr>
      </w:r>
      <w:r>
        <w:rPr>
          <w:noProof/>
        </w:rPr>
        <w:fldChar w:fldCharType="separate"/>
      </w:r>
      <w:r>
        <w:rPr>
          <w:noProof/>
        </w:rPr>
        <w:t>- 6 -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h)</w:t>
      </w:r>
      <w:r>
        <w:rPr>
          <w:rFonts w:asciiTheme="minorHAnsi" w:eastAsiaTheme="minorEastAsia" w:hAnsiTheme="minorHAnsi" w:cstheme="minorBidi"/>
          <w:bCs w:val="0"/>
          <w:noProof/>
          <w:sz w:val="22"/>
          <w:szCs w:val="22"/>
        </w:rPr>
        <w:tab/>
      </w:r>
      <w:r w:rsidRPr="00D33EE3">
        <w:rPr>
          <w:noProof/>
          <w:color w:val="7F7F7F"/>
        </w:rPr>
        <w:t>Požadavky na asanace, demolice, kácení dřevin</w:t>
      </w:r>
      <w:r>
        <w:rPr>
          <w:noProof/>
        </w:rPr>
        <w:tab/>
      </w:r>
      <w:r>
        <w:rPr>
          <w:noProof/>
        </w:rPr>
        <w:fldChar w:fldCharType="begin"/>
      </w:r>
      <w:r>
        <w:rPr>
          <w:noProof/>
        </w:rPr>
        <w:instrText xml:space="preserve"> PAGEREF _Toc27300959 \h </w:instrText>
      </w:r>
      <w:r>
        <w:rPr>
          <w:noProof/>
        </w:rPr>
      </w:r>
      <w:r>
        <w:rPr>
          <w:noProof/>
        </w:rPr>
        <w:fldChar w:fldCharType="separate"/>
      </w:r>
      <w:r>
        <w:rPr>
          <w:noProof/>
        </w:rPr>
        <w:t>- 6 -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i)</w:t>
      </w:r>
      <w:r>
        <w:rPr>
          <w:rFonts w:asciiTheme="minorHAnsi" w:eastAsiaTheme="minorEastAsia" w:hAnsiTheme="minorHAnsi" w:cstheme="minorBidi"/>
          <w:bCs w:val="0"/>
          <w:noProof/>
          <w:sz w:val="22"/>
          <w:szCs w:val="22"/>
        </w:rPr>
        <w:tab/>
      </w:r>
      <w:r w:rsidRPr="00D33EE3">
        <w:rPr>
          <w:noProof/>
          <w:color w:val="7F7F7F"/>
        </w:rPr>
        <w:t>Požadavky na maximální zábory zemědělského půdního fondu nebo pozemků určených k plnění funkce lesa (dočasné / trvalé)</w:t>
      </w:r>
      <w:r>
        <w:rPr>
          <w:noProof/>
        </w:rPr>
        <w:tab/>
      </w:r>
      <w:r>
        <w:rPr>
          <w:noProof/>
        </w:rPr>
        <w:fldChar w:fldCharType="begin"/>
      </w:r>
      <w:r>
        <w:rPr>
          <w:noProof/>
        </w:rPr>
        <w:instrText xml:space="preserve"> PAGEREF _Toc27300960 \h </w:instrText>
      </w:r>
      <w:r>
        <w:rPr>
          <w:noProof/>
        </w:rPr>
      </w:r>
      <w:r>
        <w:rPr>
          <w:noProof/>
        </w:rPr>
        <w:fldChar w:fldCharType="separate"/>
      </w:r>
      <w:r>
        <w:rPr>
          <w:noProof/>
        </w:rPr>
        <w:t>- 6 -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j)</w:t>
      </w:r>
      <w:r>
        <w:rPr>
          <w:rFonts w:asciiTheme="minorHAnsi" w:eastAsiaTheme="minorEastAsia" w:hAnsiTheme="minorHAnsi" w:cstheme="minorBidi"/>
          <w:bCs w:val="0"/>
          <w:noProof/>
          <w:sz w:val="22"/>
          <w:szCs w:val="22"/>
        </w:rPr>
        <w:tab/>
      </w:r>
      <w:r w:rsidRPr="00D33EE3">
        <w:rPr>
          <w:noProof/>
          <w:color w:val="7F7F7F"/>
        </w:rPr>
        <w:t>Územně technické podmínky (zejména možnost napojení na stávající dopravní a technickou infrastrukturu)</w:t>
      </w:r>
      <w:r>
        <w:rPr>
          <w:noProof/>
        </w:rPr>
        <w:tab/>
      </w:r>
      <w:r>
        <w:rPr>
          <w:noProof/>
        </w:rPr>
        <w:fldChar w:fldCharType="begin"/>
      </w:r>
      <w:r>
        <w:rPr>
          <w:noProof/>
        </w:rPr>
        <w:instrText xml:space="preserve"> PAGEREF _Toc27300961 \h </w:instrText>
      </w:r>
      <w:r>
        <w:rPr>
          <w:noProof/>
        </w:rPr>
      </w:r>
      <w:r>
        <w:rPr>
          <w:noProof/>
        </w:rPr>
        <w:fldChar w:fldCharType="separate"/>
      </w:r>
      <w:r>
        <w:rPr>
          <w:noProof/>
        </w:rPr>
        <w:t>- 7 -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k)</w:t>
      </w:r>
      <w:r>
        <w:rPr>
          <w:rFonts w:asciiTheme="minorHAnsi" w:eastAsiaTheme="minorEastAsia" w:hAnsiTheme="minorHAnsi" w:cstheme="minorBidi"/>
          <w:bCs w:val="0"/>
          <w:noProof/>
          <w:sz w:val="22"/>
          <w:szCs w:val="22"/>
        </w:rPr>
        <w:tab/>
      </w:r>
      <w:r w:rsidRPr="00D33EE3">
        <w:rPr>
          <w:noProof/>
          <w:color w:val="7F7F7F"/>
        </w:rPr>
        <w:t>Věcné a časové vazby stavby, podmiňující, vyvolané, související investice</w:t>
      </w:r>
      <w:r>
        <w:rPr>
          <w:noProof/>
        </w:rPr>
        <w:tab/>
      </w:r>
      <w:r>
        <w:rPr>
          <w:noProof/>
        </w:rPr>
        <w:fldChar w:fldCharType="begin"/>
      </w:r>
      <w:r>
        <w:rPr>
          <w:noProof/>
        </w:rPr>
        <w:instrText xml:space="preserve"> PAGEREF _Toc27300962 \h </w:instrText>
      </w:r>
      <w:r>
        <w:rPr>
          <w:noProof/>
        </w:rPr>
      </w:r>
      <w:r>
        <w:rPr>
          <w:noProof/>
        </w:rPr>
        <w:fldChar w:fldCharType="separate"/>
      </w:r>
      <w:r>
        <w:rPr>
          <w:noProof/>
        </w:rPr>
        <w:t>- 7 -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l)</w:t>
      </w:r>
      <w:r>
        <w:rPr>
          <w:rFonts w:asciiTheme="minorHAnsi" w:eastAsiaTheme="minorEastAsia" w:hAnsiTheme="minorHAnsi" w:cstheme="minorBidi"/>
          <w:bCs w:val="0"/>
          <w:noProof/>
          <w:sz w:val="22"/>
          <w:szCs w:val="22"/>
        </w:rPr>
        <w:tab/>
      </w:r>
      <w:r w:rsidRPr="00D33EE3">
        <w:rPr>
          <w:noProof/>
          <w:color w:val="7F7F7F"/>
        </w:rPr>
        <w:t>Seznam pozemků podle katastru nemovitosti, na kterých se stavba umisťuje a provádí</w:t>
      </w:r>
      <w:r>
        <w:rPr>
          <w:noProof/>
        </w:rPr>
        <w:tab/>
      </w:r>
      <w:r>
        <w:rPr>
          <w:noProof/>
        </w:rPr>
        <w:fldChar w:fldCharType="begin"/>
      </w:r>
      <w:r>
        <w:rPr>
          <w:noProof/>
        </w:rPr>
        <w:instrText xml:space="preserve"> PAGEREF _Toc27300963 \h </w:instrText>
      </w:r>
      <w:r>
        <w:rPr>
          <w:noProof/>
        </w:rPr>
      </w:r>
      <w:r>
        <w:rPr>
          <w:noProof/>
        </w:rPr>
        <w:fldChar w:fldCharType="separate"/>
      </w:r>
      <w:r>
        <w:rPr>
          <w:noProof/>
        </w:rPr>
        <w:t>- 7 -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m)</w:t>
      </w:r>
      <w:r>
        <w:rPr>
          <w:rFonts w:asciiTheme="minorHAnsi" w:eastAsiaTheme="minorEastAsia" w:hAnsiTheme="minorHAnsi" w:cstheme="minorBidi"/>
          <w:bCs w:val="0"/>
          <w:noProof/>
          <w:sz w:val="22"/>
          <w:szCs w:val="22"/>
        </w:rPr>
        <w:tab/>
      </w:r>
      <w:r w:rsidRPr="00D33EE3">
        <w:rPr>
          <w:noProof/>
          <w:color w:val="7F7F7F"/>
        </w:rPr>
        <w:t>Seznam pozemků podle katastru nemovitostí, na kterých vznikne ochranné pásmo nebo bezpečnostní pásmo</w:t>
      </w:r>
      <w:r>
        <w:rPr>
          <w:noProof/>
        </w:rPr>
        <w:tab/>
      </w:r>
      <w:r>
        <w:rPr>
          <w:noProof/>
        </w:rPr>
        <w:fldChar w:fldCharType="begin"/>
      </w:r>
      <w:r>
        <w:rPr>
          <w:noProof/>
        </w:rPr>
        <w:instrText xml:space="preserve"> PAGEREF _Toc27300964 \h </w:instrText>
      </w:r>
      <w:r>
        <w:rPr>
          <w:noProof/>
        </w:rPr>
      </w:r>
      <w:r>
        <w:rPr>
          <w:noProof/>
        </w:rPr>
        <w:fldChar w:fldCharType="separate"/>
      </w:r>
      <w:r>
        <w:rPr>
          <w:noProof/>
        </w:rPr>
        <w:t>- 7 -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n)</w:t>
      </w:r>
      <w:r>
        <w:rPr>
          <w:rFonts w:asciiTheme="minorHAnsi" w:eastAsiaTheme="minorEastAsia" w:hAnsiTheme="minorHAnsi" w:cstheme="minorBidi"/>
          <w:bCs w:val="0"/>
          <w:noProof/>
          <w:sz w:val="22"/>
          <w:szCs w:val="22"/>
        </w:rPr>
        <w:tab/>
      </w:r>
      <w:r w:rsidRPr="00D33EE3">
        <w:rPr>
          <w:noProof/>
          <w:color w:val="7F7F7F"/>
        </w:rPr>
        <w:t>Požadavky na monitoringy a sledování přetvoření</w:t>
      </w:r>
      <w:r>
        <w:rPr>
          <w:noProof/>
        </w:rPr>
        <w:tab/>
      </w:r>
      <w:r>
        <w:rPr>
          <w:noProof/>
        </w:rPr>
        <w:fldChar w:fldCharType="begin"/>
      </w:r>
      <w:r>
        <w:rPr>
          <w:noProof/>
        </w:rPr>
        <w:instrText xml:space="preserve"> PAGEREF _Toc27300965 \h </w:instrText>
      </w:r>
      <w:r>
        <w:rPr>
          <w:noProof/>
        </w:rPr>
      </w:r>
      <w:r>
        <w:rPr>
          <w:noProof/>
        </w:rPr>
        <w:fldChar w:fldCharType="separate"/>
      </w:r>
      <w:r>
        <w:rPr>
          <w:noProof/>
        </w:rPr>
        <w:t>- 7 -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o)</w:t>
      </w:r>
      <w:r>
        <w:rPr>
          <w:rFonts w:asciiTheme="minorHAnsi" w:eastAsiaTheme="minorEastAsia" w:hAnsiTheme="minorHAnsi" w:cstheme="minorBidi"/>
          <w:bCs w:val="0"/>
          <w:noProof/>
          <w:sz w:val="22"/>
          <w:szCs w:val="22"/>
        </w:rPr>
        <w:tab/>
      </w:r>
      <w:r w:rsidRPr="00D33EE3">
        <w:rPr>
          <w:noProof/>
          <w:color w:val="7F7F7F"/>
        </w:rPr>
        <w:t>Možnosti napojení stavby na veřejnou dopravní a technickou infrastrukturu</w:t>
      </w:r>
      <w:r>
        <w:rPr>
          <w:noProof/>
        </w:rPr>
        <w:tab/>
      </w:r>
      <w:r>
        <w:rPr>
          <w:noProof/>
        </w:rPr>
        <w:fldChar w:fldCharType="begin"/>
      </w:r>
      <w:r>
        <w:rPr>
          <w:noProof/>
        </w:rPr>
        <w:instrText xml:space="preserve"> PAGEREF _Toc27300966 \h </w:instrText>
      </w:r>
      <w:r>
        <w:rPr>
          <w:noProof/>
        </w:rPr>
      </w:r>
      <w:r>
        <w:rPr>
          <w:noProof/>
        </w:rPr>
        <w:fldChar w:fldCharType="separate"/>
      </w:r>
      <w:r>
        <w:rPr>
          <w:noProof/>
        </w:rPr>
        <w:t>- 7 -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rPr>
        <w:t>2.</w:t>
      </w:r>
      <w:r>
        <w:rPr>
          <w:rFonts w:asciiTheme="minorHAnsi" w:eastAsiaTheme="minorEastAsia" w:hAnsiTheme="minorHAnsi" w:cstheme="minorBidi"/>
          <w:bCs w:val="0"/>
          <w:noProof/>
          <w:sz w:val="22"/>
          <w:szCs w:val="22"/>
        </w:rPr>
        <w:tab/>
      </w:r>
      <w:r w:rsidRPr="00D33EE3">
        <w:rPr>
          <w:rFonts w:cs="Calibri"/>
          <w:noProof/>
        </w:rPr>
        <w:t>CELKOVÝ POPIS STAVBY</w:t>
      </w:r>
      <w:r>
        <w:rPr>
          <w:noProof/>
        </w:rPr>
        <w:tab/>
      </w:r>
      <w:r>
        <w:rPr>
          <w:noProof/>
        </w:rPr>
        <w:fldChar w:fldCharType="begin"/>
      </w:r>
      <w:r>
        <w:rPr>
          <w:noProof/>
        </w:rPr>
        <w:instrText xml:space="preserve"> PAGEREF _Toc27300967 \h </w:instrText>
      </w:r>
      <w:r>
        <w:rPr>
          <w:noProof/>
        </w:rPr>
      </w:r>
      <w:r>
        <w:rPr>
          <w:noProof/>
        </w:rPr>
        <w:fldChar w:fldCharType="separate"/>
      </w:r>
      <w:r>
        <w:rPr>
          <w:noProof/>
        </w:rPr>
        <w:t>- 7 -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color w:val="808080"/>
        </w:rPr>
        <w:t>2.1.</w:t>
      </w:r>
      <w:r>
        <w:rPr>
          <w:rFonts w:asciiTheme="minorHAnsi" w:eastAsiaTheme="minorEastAsia" w:hAnsiTheme="minorHAnsi" w:cstheme="minorBidi"/>
          <w:bCs w:val="0"/>
          <w:noProof/>
          <w:sz w:val="22"/>
          <w:szCs w:val="22"/>
        </w:rPr>
        <w:tab/>
      </w:r>
      <w:r w:rsidRPr="00D33EE3">
        <w:rPr>
          <w:rFonts w:cs="Calibri"/>
          <w:noProof/>
          <w:color w:val="808080"/>
        </w:rPr>
        <w:t>Celkový koncept řešení stavby</w:t>
      </w:r>
      <w:r>
        <w:rPr>
          <w:noProof/>
        </w:rPr>
        <w:tab/>
      </w:r>
      <w:r>
        <w:rPr>
          <w:noProof/>
        </w:rPr>
        <w:fldChar w:fldCharType="begin"/>
      </w:r>
      <w:r>
        <w:rPr>
          <w:noProof/>
        </w:rPr>
        <w:instrText xml:space="preserve"> PAGEREF _Toc27300968 \h </w:instrText>
      </w:r>
      <w:r>
        <w:rPr>
          <w:noProof/>
        </w:rPr>
      </w:r>
      <w:r>
        <w:rPr>
          <w:noProof/>
        </w:rPr>
        <w:fldChar w:fldCharType="separate"/>
      </w:r>
      <w:r>
        <w:rPr>
          <w:noProof/>
        </w:rPr>
        <w:t>- 8 -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a)</w:t>
      </w:r>
      <w:r>
        <w:rPr>
          <w:rFonts w:asciiTheme="minorHAnsi" w:eastAsiaTheme="minorEastAsia" w:hAnsiTheme="minorHAnsi" w:cstheme="minorBidi"/>
          <w:bCs w:val="0"/>
          <w:noProof/>
          <w:sz w:val="22"/>
          <w:szCs w:val="22"/>
        </w:rPr>
        <w:tab/>
      </w:r>
      <w:r w:rsidRPr="00D33EE3">
        <w:rPr>
          <w:noProof/>
          <w:color w:val="7F7F7F"/>
        </w:rPr>
        <w:t>Nová stavba nebo změna dokončené stavby</w:t>
      </w:r>
      <w:r>
        <w:rPr>
          <w:noProof/>
        </w:rPr>
        <w:tab/>
      </w:r>
      <w:r>
        <w:rPr>
          <w:noProof/>
        </w:rPr>
        <w:fldChar w:fldCharType="begin"/>
      </w:r>
      <w:r>
        <w:rPr>
          <w:noProof/>
        </w:rPr>
        <w:instrText xml:space="preserve"> PAGEREF _Toc27300969 \h </w:instrText>
      </w:r>
      <w:r>
        <w:rPr>
          <w:noProof/>
        </w:rPr>
      </w:r>
      <w:r>
        <w:rPr>
          <w:noProof/>
        </w:rPr>
        <w:fldChar w:fldCharType="separate"/>
      </w:r>
      <w:r>
        <w:rPr>
          <w:noProof/>
        </w:rPr>
        <w:t>- 8 -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b)</w:t>
      </w:r>
      <w:r>
        <w:rPr>
          <w:rFonts w:asciiTheme="minorHAnsi" w:eastAsiaTheme="minorEastAsia" w:hAnsiTheme="minorHAnsi" w:cstheme="minorBidi"/>
          <w:bCs w:val="0"/>
          <w:noProof/>
          <w:sz w:val="22"/>
          <w:szCs w:val="22"/>
        </w:rPr>
        <w:tab/>
      </w:r>
      <w:r w:rsidRPr="00D33EE3">
        <w:rPr>
          <w:noProof/>
          <w:color w:val="7F7F7F"/>
        </w:rPr>
        <w:t>Účel užívání stavby, základní kapacity funkčních jednotek</w:t>
      </w:r>
      <w:r>
        <w:rPr>
          <w:noProof/>
        </w:rPr>
        <w:tab/>
      </w:r>
      <w:r>
        <w:rPr>
          <w:noProof/>
        </w:rPr>
        <w:fldChar w:fldCharType="begin"/>
      </w:r>
      <w:r>
        <w:rPr>
          <w:noProof/>
        </w:rPr>
        <w:instrText xml:space="preserve"> PAGEREF _Toc27300970 \h </w:instrText>
      </w:r>
      <w:r>
        <w:rPr>
          <w:noProof/>
        </w:rPr>
      </w:r>
      <w:r>
        <w:rPr>
          <w:noProof/>
        </w:rPr>
        <w:fldChar w:fldCharType="separate"/>
      </w:r>
      <w:r>
        <w:rPr>
          <w:noProof/>
        </w:rPr>
        <w:t>- 8 -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c)</w:t>
      </w:r>
      <w:r>
        <w:rPr>
          <w:rFonts w:asciiTheme="minorHAnsi" w:eastAsiaTheme="minorEastAsia" w:hAnsiTheme="minorHAnsi" w:cstheme="minorBidi"/>
          <w:bCs w:val="0"/>
          <w:noProof/>
          <w:sz w:val="22"/>
          <w:szCs w:val="22"/>
        </w:rPr>
        <w:tab/>
      </w:r>
      <w:r w:rsidRPr="00D33EE3">
        <w:rPr>
          <w:noProof/>
          <w:color w:val="7F7F7F"/>
        </w:rPr>
        <w:t>Trvalá nebo dočasná stavba</w:t>
      </w:r>
      <w:r>
        <w:rPr>
          <w:noProof/>
        </w:rPr>
        <w:tab/>
      </w:r>
      <w:r>
        <w:rPr>
          <w:noProof/>
        </w:rPr>
        <w:fldChar w:fldCharType="begin"/>
      </w:r>
      <w:r>
        <w:rPr>
          <w:noProof/>
        </w:rPr>
        <w:instrText xml:space="preserve"> PAGEREF _Toc27300971 \h </w:instrText>
      </w:r>
      <w:r>
        <w:rPr>
          <w:noProof/>
        </w:rPr>
      </w:r>
      <w:r>
        <w:rPr>
          <w:noProof/>
        </w:rPr>
        <w:fldChar w:fldCharType="separate"/>
      </w:r>
      <w:r>
        <w:rPr>
          <w:noProof/>
        </w:rPr>
        <w:t>- 8 -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rPr>
        <w:t>Jedná se o trvalou stavbu.</w:t>
      </w:r>
      <w:r>
        <w:rPr>
          <w:noProof/>
        </w:rPr>
        <w:tab/>
      </w:r>
      <w:r>
        <w:rPr>
          <w:noProof/>
        </w:rPr>
        <w:fldChar w:fldCharType="begin"/>
      </w:r>
      <w:r>
        <w:rPr>
          <w:noProof/>
        </w:rPr>
        <w:instrText xml:space="preserve"> PAGEREF _Toc27300972 \h </w:instrText>
      </w:r>
      <w:r>
        <w:rPr>
          <w:noProof/>
        </w:rPr>
      </w:r>
      <w:r>
        <w:rPr>
          <w:noProof/>
        </w:rPr>
        <w:fldChar w:fldCharType="separate"/>
      </w:r>
      <w:r>
        <w:rPr>
          <w:noProof/>
        </w:rPr>
        <w:t>- 8 -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d)</w:t>
      </w:r>
      <w:r>
        <w:rPr>
          <w:rFonts w:asciiTheme="minorHAnsi" w:eastAsiaTheme="minorEastAsia" w:hAnsiTheme="minorHAnsi" w:cstheme="minorBidi"/>
          <w:bCs w:val="0"/>
          <w:noProof/>
          <w:sz w:val="22"/>
          <w:szCs w:val="22"/>
        </w:rPr>
        <w:tab/>
      </w:r>
      <w:r w:rsidRPr="00D33EE3">
        <w:rPr>
          <w:noProof/>
          <w:color w:val="7F7F7F"/>
        </w:rPr>
        <w:t>Informace o vydaných rozhodnutích o povolení výjimky z technických požadavků na stavby a technických požadavků zabezpečující bezbariérové užívání stavby nebo souhlasu s odchylným řešením z platných předpisů a norem</w:t>
      </w:r>
      <w:r>
        <w:rPr>
          <w:noProof/>
        </w:rPr>
        <w:tab/>
      </w:r>
      <w:r>
        <w:rPr>
          <w:noProof/>
        </w:rPr>
        <w:fldChar w:fldCharType="begin"/>
      </w:r>
      <w:r>
        <w:rPr>
          <w:noProof/>
        </w:rPr>
        <w:instrText xml:space="preserve"> PAGEREF _Toc27300973 \h </w:instrText>
      </w:r>
      <w:r>
        <w:rPr>
          <w:noProof/>
        </w:rPr>
      </w:r>
      <w:r>
        <w:rPr>
          <w:noProof/>
        </w:rPr>
        <w:fldChar w:fldCharType="separate"/>
      </w:r>
      <w:r>
        <w:rPr>
          <w:noProof/>
        </w:rPr>
        <w:t>- 8 -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e)</w:t>
      </w:r>
      <w:r>
        <w:rPr>
          <w:rFonts w:asciiTheme="minorHAnsi" w:eastAsiaTheme="minorEastAsia" w:hAnsiTheme="minorHAnsi" w:cstheme="minorBidi"/>
          <w:bCs w:val="0"/>
          <w:noProof/>
          <w:sz w:val="22"/>
          <w:szCs w:val="22"/>
        </w:rPr>
        <w:tab/>
      </w:r>
      <w:r w:rsidRPr="00D33EE3">
        <w:rPr>
          <w:noProof/>
          <w:color w:val="7F7F7F"/>
        </w:rPr>
        <w:t>Informace o tom, zda a v jakých částech dokumentace jsou zohledněny podmínky závazných stanovisek dotčených orgánů.</w:t>
      </w:r>
      <w:r>
        <w:rPr>
          <w:noProof/>
        </w:rPr>
        <w:tab/>
      </w:r>
      <w:r>
        <w:rPr>
          <w:noProof/>
        </w:rPr>
        <w:fldChar w:fldCharType="begin"/>
      </w:r>
      <w:r>
        <w:rPr>
          <w:noProof/>
        </w:rPr>
        <w:instrText xml:space="preserve"> PAGEREF _Toc27300974 \h </w:instrText>
      </w:r>
      <w:r>
        <w:rPr>
          <w:noProof/>
        </w:rPr>
      </w:r>
      <w:r>
        <w:rPr>
          <w:noProof/>
        </w:rPr>
        <w:fldChar w:fldCharType="separate"/>
      </w:r>
      <w:r>
        <w:rPr>
          <w:noProof/>
        </w:rPr>
        <w:t>- 8 -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f)</w:t>
      </w:r>
      <w:r>
        <w:rPr>
          <w:rFonts w:asciiTheme="minorHAnsi" w:eastAsiaTheme="minorEastAsia" w:hAnsiTheme="minorHAnsi" w:cstheme="minorBidi"/>
          <w:bCs w:val="0"/>
          <w:noProof/>
          <w:sz w:val="22"/>
          <w:szCs w:val="22"/>
        </w:rPr>
        <w:tab/>
      </w:r>
      <w:r w:rsidRPr="00D33EE3">
        <w:rPr>
          <w:noProof/>
          <w:color w:val="7F7F7F"/>
        </w:rPr>
        <w:t>Celkový popis koncepce řešení stavby včetně základních parametrů stavby</w:t>
      </w:r>
      <w:r>
        <w:rPr>
          <w:noProof/>
        </w:rPr>
        <w:tab/>
      </w:r>
      <w:r>
        <w:rPr>
          <w:noProof/>
        </w:rPr>
        <w:fldChar w:fldCharType="begin"/>
      </w:r>
      <w:r>
        <w:rPr>
          <w:noProof/>
        </w:rPr>
        <w:instrText xml:space="preserve"> PAGEREF _Toc27300975 \h </w:instrText>
      </w:r>
      <w:r>
        <w:rPr>
          <w:noProof/>
        </w:rPr>
      </w:r>
      <w:r>
        <w:rPr>
          <w:noProof/>
        </w:rPr>
        <w:fldChar w:fldCharType="separate"/>
      </w:r>
      <w:r>
        <w:rPr>
          <w:noProof/>
        </w:rPr>
        <w:t>- 8 -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g)</w:t>
      </w:r>
      <w:r>
        <w:rPr>
          <w:rFonts w:asciiTheme="minorHAnsi" w:eastAsiaTheme="minorEastAsia" w:hAnsiTheme="minorHAnsi" w:cstheme="minorBidi"/>
          <w:bCs w:val="0"/>
          <w:noProof/>
          <w:sz w:val="22"/>
          <w:szCs w:val="22"/>
        </w:rPr>
        <w:tab/>
      </w:r>
      <w:r w:rsidRPr="00D33EE3">
        <w:rPr>
          <w:noProof/>
          <w:color w:val="7F7F7F"/>
        </w:rPr>
        <w:t>Základní bilance stavby – potřeby a spotřeby medií a hmot, hospodaření s dešťovou vodou, celkové produkované množství a druhy odpadů a emisí, třída energetické náročnosti budov apod.</w:t>
      </w:r>
      <w:r>
        <w:rPr>
          <w:noProof/>
        </w:rPr>
        <w:tab/>
      </w:r>
      <w:r>
        <w:rPr>
          <w:noProof/>
        </w:rPr>
        <w:fldChar w:fldCharType="begin"/>
      </w:r>
      <w:r>
        <w:rPr>
          <w:noProof/>
        </w:rPr>
        <w:instrText xml:space="preserve"> PAGEREF _Toc27300976 \h </w:instrText>
      </w:r>
      <w:r>
        <w:rPr>
          <w:noProof/>
        </w:rPr>
      </w:r>
      <w:r>
        <w:rPr>
          <w:noProof/>
        </w:rPr>
        <w:fldChar w:fldCharType="separate"/>
      </w:r>
      <w:r>
        <w:rPr>
          <w:noProof/>
        </w:rPr>
        <w:t>- 9 -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h)</w:t>
      </w:r>
      <w:r>
        <w:rPr>
          <w:rFonts w:asciiTheme="minorHAnsi" w:eastAsiaTheme="minorEastAsia" w:hAnsiTheme="minorHAnsi" w:cstheme="minorBidi"/>
          <w:bCs w:val="0"/>
          <w:noProof/>
          <w:sz w:val="22"/>
          <w:szCs w:val="22"/>
        </w:rPr>
        <w:tab/>
      </w:r>
      <w:r w:rsidRPr="00D33EE3">
        <w:rPr>
          <w:noProof/>
          <w:color w:val="7F7F7F"/>
        </w:rPr>
        <w:t>Základní předpoklady výstavby – časové údaje o realizace staveb, členění na etapy</w:t>
      </w:r>
      <w:r>
        <w:rPr>
          <w:noProof/>
        </w:rPr>
        <w:tab/>
      </w:r>
      <w:r>
        <w:rPr>
          <w:noProof/>
        </w:rPr>
        <w:fldChar w:fldCharType="begin"/>
      </w:r>
      <w:r>
        <w:rPr>
          <w:noProof/>
        </w:rPr>
        <w:instrText xml:space="preserve"> PAGEREF _Toc27300977 \h </w:instrText>
      </w:r>
      <w:r>
        <w:rPr>
          <w:noProof/>
        </w:rPr>
      </w:r>
      <w:r>
        <w:rPr>
          <w:noProof/>
        </w:rPr>
        <w:fldChar w:fldCharType="separate"/>
      </w:r>
      <w:r>
        <w:rPr>
          <w:noProof/>
        </w:rPr>
        <w:t>- 10 -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i)</w:t>
      </w:r>
      <w:r>
        <w:rPr>
          <w:rFonts w:asciiTheme="minorHAnsi" w:eastAsiaTheme="minorEastAsia" w:hAnsiTheme="minorHAnsi" w:cstheme="minorBidi"/>
          <w:bCs w:val="0"/>
          <w:noProof/>
          <w:sz w:val="22"/>
          <w:szCs w:val="22"/>
        </w:rPr>
        <w:tab/>
      </w:r>
      <w:r w:rsidRPr="00D33EE3">
        <w:rPr>
          <w:noProof/>
          <w:color w:val="7F7F7F"/>
        </w:rPr>
        <w:t>Základní požadavky na předčasné užívání staveb, prozatímní užívání staveb ke zkušebnímu provozu</w:t>
      </w:r>
      <w:r>
        <w:rPr>
          <w:noProof/>
        </w:rPr>
        <w:tab/>
      </w:r>
      <w:r>
        <w:rPr>
          <w:noProof/>
        </w:rPr>
        <w:fldChar w:fldCharType="begin"/>
      </w:r>
      <w:r>
        <w:rPr>
          <w:noProof/>
        </w:rPr>
        <w:instrText xml:space="preserve"> PAGEREF _Toc27300978 \h </w:instrText>
      </w:r>
      <w:r>
        <w:rPr>
          <w:noProof/>
        </w:rPr>
      </w:r>
      <w:r>
        <w:rPr>
          <w:noProof/>
        </w:rPr>
        <w:fldChar w:fldCharType="separate"/>
      </w:r>
      <w:r>
        <w:rPr>
          <w:noProof/>
        </w:rPr>
        <w:t>- 11 -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7F7F7F"/>
        </w:rPr>
        <w:t>j)</w:t>
      </w:r>
      <w:r>
        <w:rPr>
          <w:rFonts w:asciiTheme="minorHAnsi" w:eastAsiaTheme="minorEastAsia" w:hAnsiTheme="minorHAnsi" w:cstheme="minorBidi"/>
          <w:bCs w:val="0"/>
          <w:noProof/>
          <w:sz w:val="22"/>
          <w:szCs w:val="22"/>
        </w:rPr>
        <w:tab/>
      </w:r>
      <w:r w:rsidRPr="00D33EE3">
        <w:rPr>
          <w:noProof/>
          <w:color w:val="7F7F7F"/>
        </w:rPr>
        <w:t>Orientační náklady stavby</w:t>
      </w:r>
      <w:r>
        <w:rPr>
          <w:noProof/>
        </w:rPr>
        <w:tab/>
      </w:r>
      <w:r>
        <w:rPr>
          <w:noProof/>
        </w:rPr>
        <w:fldChar w:fldCharType="begin"/>
      </w:r>
      <w:r>
        <w:rPr>
          <w:noProof/>
        </w:rPr>
        <w:instrText xml:space="preserve"> PAGEREF _Toc27300979 \h </w:instrText>
      </w:r>
      <w:r>
        <w:rPr>
          <w:noProof/>
        </w:rPr>
      </w:r>
      <w:r>
        <w:rPr>
          <w:noProof/>
        </w:rPr>
        <w:fldChar w:fldCharType="separate"/>
      </w:r>
      <w:r>
        <w:rPr>
          <w:noProof/>
        </w:rPr>
        <w:t>- 11 -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color w:val="808080"/>
        </w:rPr>
        <w:t>2.2.</w:t>
      </w:r>
      <w:r>
        <w:rPr>
          <w:rFonts w:asciiTheme="minorHAnsi" w:eastAsiaTheme="minorEastAsia" w:hAnsiTheme="minorHAnsi" w:cstheme="minorBidi"/>
          <w:bCs w:val="0"/>
          <w:noProof/>
          <w:sz w:val="22"/>
          <w:szCs w:val="22"/>
        </w:rPr>
        <w:tab/>
      </w:r>
      <w:r w:rsidRPr="00D33EE3">
        <w:rPr>
          <w:rFonts w:cs="Calibri"/>
          <w:noProof/>
          <w:color w:val="808080"/>
        </w:rPr>
        <w:t>Celkové urbanistické a architektonické řešení</w:t>
      </w:r>
      <w:r>
        <w:rPr>
          <w:noProof/>
        </w:rPr>
        <w:tab/>
      </w:r>
      <w:r>
        <w:rPr>
          <w:noProof/>
        </w:rPr>
        <w:fldChar w:fldCharType="begin"/>
      </w:r>
      <w:r>
        <w:rPr>
          <w:noProof/>
        </w:rPr>
        <w:instrText xml:space="preserve"> PAGEREF _Toc27300980 \h </w:instrText>
      </w:r>
      <w:r>
        <w:rPr>
          <w:noProof/>
        </w:rPr>
      </w:r>
      <w:r>
        <w:rPr>
          <w:noProof/>
        </w:rPr>
        <w:fldChar w:fldCharType="separate"/>
      </w:r>
      <w:r>
        <w:rPr>
          <w:noProof/>
        </w:rPr>
        <w:t>- 11 -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i/>
          <w:noProof/>
        </w:rPr>
        <w:t>a)</w:t>
      </w:r>
      <w:r>
        <w:rPr>
          <w:rFonts w:asciiTheme="minorHAnsi" w:eastAsiaTheme="minorEastAsia" w:hAnsiTheme="minorHAnsi" w:cstheme="minorBidi"/>
          <w:bCs w:val="0"/>
          <w:noProof/>
          <w:sz w:val="22"/>
          <w:szCs w:val="22"/>
        </w:rPr>
        <w:tab/>
      </w:r>
      <w:r w:rsidRPr="00D33EE3">
        <w:rPr>
          <w:i/>
          <w:noProof/>
        </w:rPr>
        <w:t>Urbanismus – územní regulace, kompozice prostorového řešení</w:t>
      </w:r>
      <w:r>
        <w:rPr>
          <w:noProof/>
        </w:rPr>
        <w:tab/>
      </w:r>
      <w:r>
        <w:rPr>
          <w:noProof/>
        </w:rPr>
        <w:fldChar w:fldCharType="begin"/>
      </w:r>
      <w:r>
        <w:rPr>
          <w:noProof/>
        </w:rPr>
        <w:instrText xml:space="preserve"> PAGEREF _Toc27300981 \h </w:instrText>
      </w:r>
      <w:r>
        <w:rPr>
          <w:noProof/>
        </w:rPr>
      </w:r>
      <w:r>
        <w:rPr>
          <w:noProof/>
        </w:rPr>
        <w:fldChar w:fldCharType="separate"/>
      </w:r>
      <w:r>
        <w:rPr>
          <w:noProof/>
        </w:rPr>
        <w:t>- 11 -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i/>
          <w:noProof/>
        </w:rPr>
        <w:t>b)</w:t>
      </w:r>
      <w:r>
        <w:rPr>
          <w:rFonts w:asciiTheme="minorHAnsi" w:eastAsiaTheme="minorEastAsia" w:hAnsiTheme="minorHAnsi" w:cstheme="minorBidi"/>
          <w:bCs w:val="0"/>
          <w:noProof/>
          <w:sz w:val="22"/>
          <w:szCs w:val="22"/>
        </w:rPr>
        <w:tab/>
      </w:r>
      <w:r w:rsidRPr="00D33EE3">
        <w:rPr>
          <w:i/>
          <w:noProof/>
        </w:rPr>
        <w:t>Architektonické řešení – kompozice tvarového řešení, materiálové a barevné řešení</w:t>
      </w:r>
      <w:r>
        <w:rPr>
          <w:noProof/>
        </w:rPr>
        <w:tab/>
      </w:r>
      <w:r>
        <w:rPr>
          <w:noProof/>
        </w:rPr>
        <w:fldChar w:fldCharType="begin"/>
      </w:r>
      <w:r>
        <w:rPr>
          <w:noProof/>
        </w:rPr>
        <w:instrText xml:space="preserve"> PAGEREF _Toc27300982 \h </w:instrText>
      </w:r>
      <w:r>
        <w:rPr>
          <w:noProof/>
        </w:rPr>
      </w:r>
      <w:r>
        <w:rPr>
          <w:noProof/>
        </w:rPr>
        <w:fldChar w:fldCharType="separate"/>
      </w:r>
      <w:r>
        <w:rPr>
          <w:noProof/>
        </w:rPr>
        <w:t>- 11 -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color w:val="808080"/>
        </w:rPr>
        <w:t>2.3.</w:t>
      </w:r>
      <w:r>
        <w:rPr>
          <w:rFonts w:asciiTheme="minorHAnsi" w:eastAsiaTheme="minorEastAsia" w:hAnsiTheme="minorHAnsi" w:cstheme="minorBidi"/>
          <w:bCs w:val="0"/>
          <w:noProof/>
          <w:sz w:val="22"/>
          <w:szCs w:val="22"/>
        </w:rPr>
        <w:tab/>
      </w:r>
      <w:r w:rsidRPr="00D33EE3">
        <w:rPr>
          <w:rFonts w:cs="Calibri"/>
          <w:noProof/>
          <w:color w:val="808080"/>
        </w:rPr>
        <w:t>Celkové technické řešení</w:t>
      </w:r>
      <w:r>
        <w:rPr>
          <w:noProof/>
        </w:rPr>
        <w:tab/>
      </w:r>
      <w:r>
        <w:rPr>
          <w:noProof/>
        </w:rPr>
        <w:fldChar w:fldCharType="begin"/>
      </w:r>
      <w:r>
        <w:rPr>
          <w:noProof/>
        </w:rPr>
        <w:instrText xml:space="preserve"> PAGEREF _Toc27300983 \h </w:instrText>
      </w:r>
      <w:r>
        <w:rPr>
          <w:noProof/>
        </w:rPr>
      </w:r>
      <w:r>
        <w:rPr>
          <w:noProof/>
        </w:rPr>
        <w:fldChar w:fldCharType="separate"/>
      </w:r>
      <w:r>
        <w:rPr>
          <w:noProof/>
        </w:rPr>
        <w:t>- 11 -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color w:val="808080"/>
        </w:rPr>
        <w:t>2.4.</w:t>
      </w:r>
      <w:r>
        <w:rPr>
          <w:rFonts w:asciiTheme="minorHAnsi" w:eastAsiaTheme="minorEastAsia" w:hAnsiTheme="minorHAnsi" w:cstheme="minorBidi"/>
          <w:bCs w:val="0"/>
          <w:noProof/>
          <w:sz w:val="22"/>
          <w:szCs w:val="22"/>
        </w:rPr>
        <w:tab/>
      </w:r>
      <w:r w:rsidRPr="00D33EE3">
        <w:rPr>
          <w:rFonts w:cs="Calibri"/>
          <w:noProof/>
          <w:color w:val="808080"/>
        </w:rPr>
        <w:t>Bezbariérové užívání stavby</w:t>
      </w:r>
      <w:r>
        <w:rPr>
          <w:noProof/>
        </w:rPr>
        <w:tab/>
      </w:r>
      <w:r>
        <w:rPr>
          <w:noProof/>
        </w:rPr>
        <w:fldChar w:fldCharType="begin"/>
      </w:r>
      <w:r>
        <w:rPr>
          <w:noProof/>
        </w:rPr>
        <w:instrText xml:space="preserve"> PAGEREF _Toc27300984 \h </w:instrText>
      </w:r>
      <w:r>
        <w:rPr>
          <w:noProof/>
        </w:rPr>
      </w:r>
      <w:r>
        <w:rPr>
          <w:noProof/>
        </w:rPr>
        <w:fldChar w:fldCharType="separate"/>
      </w:r>
      <w:r>
        <w:rPr>
          <w:noProof/>
        </w:rPr>
        <w:t>- 12 -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color w:val="808080"/>
        </w:rPr>
        <w:t>2.5.</w:t>
      </w:r>
      <w:r>
        <w:rPr>
          <w:rFonts w:asciiTheme="minorHAnsi" w:eastAsiaTheme="minorEastAsia" w:hAnsiTheme="minorHAnsi" w:cstheme="minorBidi"/>
          <w:bCs w:val="0"/>
          <w:noProof/>
          <w:sz w:val="22"/>
          <w:szCs w:val="22"/>
        </w:rPr>
        <w:tab/>
      </w:r>
      <w:r w:rsidRPr="00D33EE3">
        <w:rPr>
          <w:rFonts w:cs="Calibri"/>
          <w:noProof/>
          <w:color w:val="808080"/>
        </w:rPr>
        <w:t>Bezpečnost při užívání stavby</w:t>
      </w:r>
      <w:r>
        <w:rPr>
          <w:noProof/>
        </w:rPr>
        <w:tab/>
      </w:r>
      <w:r>
        <w:rPr>
          <w:noProof/>
        </w:rPr>
        <w:fldChar w:fldCharType="begin"/>
      </w:r>
      <w:r>
        <w:rPr>
          <w:noProof/>
        </w:rPr>
        <w:instrText xml:space="preserve"> PAGEREF _Toc27300985 \h </w:instrText>
      </w:r>
      <w:r>
        <w:rPr>
          <w:noProof/>
        </w:rPr>
      </w:r>
      <w:r>
        <w:rPr>
          <w:noProof/>
        </w:rPr>
        <w:fldChar w:fldCharType="separate"/>
      </w:r>
      <w:r>
        <w:rPr>
          <w:noProof/>
        </w:rPr>
        <w:t>- 13 -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color w:val="808080"/>
        </w:rPr>
        <w:t>2.6.</w:t>
      </w:r>
      <w:r>
        <w:rPr>
          <w:rFonts w:asciiTheme="minorHAnsi" w:eastAsiaTheme="minorEastAsia" w:hAnsiTheme="minorHAnsi" w:cstheme="minorBidi"/>
          <w:bCs w:val="0"/>
          <w:noProof/>
          <w:sz w:val="22"/>
          <w:szCs w:val="22"/>
        </w:rPr>
        <w:tab/>
      </w:r>
      <w:r w:rsidRPr="00D33EE3">
        <w:rPr>
          <w:rFonts w:cs="Calibri"/>
          <w:noProof/>
          <w:color w:val="808080"/>
        </w:rPr>
        <w:t>Základní charakteristika objektů</w:t>
      </w:r>
      <w:r>
        <w:rPr>
          <w:noProof/>
        </w:rPr>
        <w:tab/>
      </w:r>
      <w:r>
        <w:rPr>
          <w:noProof/>
        </w:rPr>
        <w:fldChar w:fldCharType="begin"/>
      </w:r>
      <w:r>
        <w:rPr>
          <w:noProof/>
        </w:rPr>
        <w:instrText xml:space="preserve"> PAGEREF _Toc27300986 \h </w:instrText>
      </w:r>
      <w:r>
        <w:rPr>
          <w:noProof/>
        </w:rPr>
      </w:r>
      <w:r>
        <w:rPr>
          <w:noProof/>
        </w:rPr>
        <w:fldChar w:fldCharType="separate"/>
      </w:r>
      <w:r>
        <w:rPr>
          <w:noProof/>
        </w:rPr>
        <w:t>- 13 -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color w:val="808080"/>
        </w:rPr>
        <w:t>2.7.</w:t>
      </w:r>
      <w:r>
        <w:rPr>
          <w:rFonts w:asciiTheme="minorHAnsi" w:eastAsiaTheme="minorEastAsia" w:hAnsiTheme="minorHAnsi" w:cstheme="minorBidi"/>
          <w:bCs w:val="0"/>
          <w:noProof/>
          <w:sz w:val="22"/>
          <w:szCs w:val="22"/>
        </w:rPr>
        <w:tab/>
      </w:r>
      <w:r w:rsidRPr="00D33EE3">
        <w:rPr>
          <w:rFonts w:cs="Calibri"/>
          <w:noProof/>
          <w:color w:val="808080"/>
        </w:rPr>
        <w:t>Technická a technologická zařízení</w:t>
      </w:r>
      <w:r>
        <w:rPr>
          <w:noProof/>
        </w:rPr>
        <w:tab/>
      </w:r>
      <w:r>
        <w:rPr>
          <w:noProof/>
        </w:rPr>
        <w:fldChar w:fldCharType="begin"/>
      </w:r>
      <w:r>
        <w:rPr>
          <w:noProof/>
        </w:rPr>
        <w:instrText xml:space="preserve"> PAGEREF _Toc27300987 \h </w:instrText>
      </w:r>
      <w:r>
        <w:rPr>
          <w:noProof/>
        </w:rPr>
      </w:r>
      <w:r>
        <w:rPr>
          <w:noProof/>
        </w:rPr>
        <w:fldChar w:fldCharType="separate"/>
      </w:r>
      <w:r>
        <w:rPr>
          <w:noProof/>
        </w:rPr>
        <w:t>- 23 -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i/>
          <w:noProof/>
        </w:rPr>
        <w:t>a)</w:t>
      </w:r>
      <w:r>
        <w:rPr>
          <w:rFonts w:asciiTheme="minorHAnsi" w:eastAsiaTheme="minorEastAsia" w:hAnsiTheme="minorHAnsi" w:cstheme="minorBidi"/>
          <w:bCs w:val="0"/>
          <w:noProof/>
          <w:sz w:val="22"/>
          <w:szCs w:val="22"/>
        </w:rPr>
        <w:tab/>
      </w:r>
      <w:r w:rsidRPr="00D33EE3">
        <w:rPr>
          <w:i/>
          <w:noProof/>
        </w:rPr>
        <w:t>Technické řešení</w:t>
      </w:r>
      <w:r>
        <w:rPr>
          <w:noProof/>
        </w:rPr>
        <w:tab/>
      </w:r>
      <w:r>
        <w:rPr>
          <w:noProof/>
        </w:rPr>
        <w:fldChar w:fldCharType="begin"/>
      </w:r>
      <w:r>
        <w:rPr>
          <w:noProof/>
        </w:rPr>
        <w:instrText xml:space="preserve"> PAGEREF _Toc27300988 \h </w:instrText>
      </w:r>
      <w:r>
        <w:rPr>
          <w:noProof/>
        </w:rPr>
      </w:r>
      <w:r>
        <w:rPr>
          <w:noProof/>
        </w:rPr>
        <w:fldChar w:fldCharType="separate"/>
      </w:r>
      <w:r>
        <w:rPr>
          <w:noProof/>
        </w:rPr>
        <w:t>- 23 -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i/>
          <w:noProof/>
        </w:rPr>
        <w:t>b)</w:t>
      </w:r>
      <w:r>
        <w:rPr>
          <w:rFonts w:asciiTheme="minorHAnsi" w:eastAsiaTheme="minorEastAsia" w:hAnsiTheme="minorHAnsi" w:cstheme="minorBidi"/>
          <w:bCs w:val="0"/>
          <w:noProof/>
          <w:sz w:val="22"/>
          <w:szCs w:val="22"/>
        </w:rPr>
        <w:tab/>
      </w:r>
      <w:r w:rsidRPr="00D33EE3">
        <w:rPr>
          <w:i/>
          <w:noProof/>
        </w:rPr>
        <w:t>Výčet technických a technologických zařízení</w:t>
      </w:r>
      <w:r>
        <w:rPr>
          <w:noProof/>
        </w:rPr>
        <w:tab/>
      </w:r>
      <w:r>
        <w:rPr>
          <w:noProof/>
        </w:rPr>
        <w:fldChar w:fldCharType="begin"/>
      </w:r>
      <w:r>
        <w:rPr>
          <w:noProof/>
        </w:rPr>
        <w:instrText xml:space="preserve"> PAGEREF _Toc27300989 \h </w:instrText>
      </w:r>
      <w:r>
        <w:rPr>
          <w:noProof/>
        </w:rPr>
      </w:r>
      <w:r>
        <w:rPr>
          <w:noProof/>
        </w:rPr>
        <w:fldChar w:fldCharType="separate"/>
      </w:r>
      <w:r>
        <w:rPr>
          <w:noProof/>
        </w:rPr>
        <w:t>- 23 -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color w:val="808080"/>
        </w:rPr>
        <w:t>2.8.</w:t>
      </w:r>
      <w:r>
        <w:rPr>
          <w:rFonts w:asciiTheme="minorHAnsi" w:eastAsiaTheme="minorEastAsia" w:hAnsiTheme="minorHAnsi" w:cstheme="minorBidi"/>
          <w:bCs w:val="0"/>
          <w:noProof/>
          <w:sz w:val="22"/>
          <w:szCs w:val="22"/>
        </w:rPr>
        <w:tab/>
      </w:r>
      <w:r w:rsidRPr="00D33EE3">
        <w:rPr>
          <w:rFonts w:cs="Calibri"/>
          <w:noProof/>
          <w:color w:val="808080"/>
        </w:rPr>
        <w:t>Požárně bezpečnostní řešení</w:t>
      </w:r>
      <w:r>
        <w:rPr>
          <w:noProof/>
        </w:rPr>
        <w:tab/>
      </w:r>
      <w:r>
        <w:rPr>
          <w:noProof/>
        </w:rPr>
        <w:fldChar w:fldCharType="begin"/>
      </w:r>
      <w:r>
        <w:rPr>
          <w:noProof/>
        </w:rPr>
        <w:instrText xml:space="preserve"> PAGEREF _Toc27300990 \h </w:instrText>
      </w:r>
      <w:r>
        <w:rPr>
          <w:noProof/>
        </w:rPr>
      </w:r>
      <w:r>
        <w:rPr>
          <w:noProof/>
        </w:rPr>
        <w:fldChar w:fldCharType="separate"/>
      </w:r>
      <w:r>
        <w:rPr>
          <w:noProof/>
        </w:rPr>
        <w:t>- 23 -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i/>
          <w:noProof/>
        </w:rPr>
        <w:t>a)</w:t>
      </w:r>
      <w:r>
        <w:rPr>
          <w:rFonts w:asciiTheme="minorHAnsi" w:eastAsiaTheme="minorEastAsia" w:hAnsiTheme="minorHAnsi" w:cstheme="minorBidi"/>
          <w:bCs w:val="0"/>
          <w:noProof/>
          <w:sz w:val="22"/>
          <w:szCs w:val="22"/>
        </w:rPr>
        <w:tab/>
      </w:r>
      <w:r w:rsidRPr="00D33EE3">
        <w:rPr>
          <w:i/>
          <w:noProof/>
        </w:rPr>
        <w:t>Výpočet a posouzení odstupových vzdáleností a vymezení požárně nebezpečných prostorů</w:t>
      </w:r>
      <w:r>
        <w:rPr>
          <w:noProof/>
        </w:rPr>
        <w:tab/>
      </w:r>
      <w:r>
        <w:rPr>
          <w:noProof/>
        </w:rPr>
        <w:fldChar w:fldCharType="begin"/>
      </w:r>
      <w:r>
        <w:rPr>
          <w:noProof/>
        </w:rPr>
        <w:instrText xml:space="preserve"> PAGEREF _Toc27300991 \h </w:instrText>
      </w:r>
      <w:r>
        <w:rPr>
          <w:noProof/>
        </w:rPr>
      </w:r>
      <w:r>
        <w:rPr>
          <w:noProof/>
        </w:rPr>
        <w:fldChar w:fldCharType="separate"/>
      </w:r>
      <w:r>
        <w:rPr>
          <w:noProof/>
        </w:rPr>
        <w:t>- 23 -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i/>
          <w:noProof/>
        </w:rPr>
        <w:t>b)</w:t>
      </w:r>
      <w:r>
        <w:rPr>
          <w:rFonts w:asciiTheme="minorHAnsi" w:eastAsiaTheme="minorEastAsia" w:hAnsiTheme="minorHAnsi" w:cstheme="minorBidi"/>
          <w:bCs w:val="0"/>
          <w:noProof/>
          <w:sz w:val="22"/>
          <w:szCs w:val="22"/>
        </w:rPr>
        <w:tab/>
      </w:r>
      <w:r w:rsidRPr="00D33EE3">
        <w:rPr>
          <w:i/>
          <w:noProof/>
        </w:rPr>
        <w:t>Zajištění potřebného množství požární vody, popřípadě jiného hasiva</w:t>
      </w:r>
      <w:r>
        <w:rPr>
          <w:noProof/>
        </w:rPr>
        <w:tab/>
      </w:r>
      <w:r>
        <w:rPr>
          <w:noProof/>
        </w:rPr>
        <w:fldChar w:fldCharType="begin"/>
      </w:r>
      <w:r>
        <w:rPr>
          <w:noProof/>
        </w:rPr>
        <w:instrText xml:space="preserve"> PAGEREF _Toc27300992 \h </w:instrText>
      </w:r>
      <w:r>
        <w:rPr>
          <w:noProof/>
        </w:rPr>
      </w:r>
      <w:r>
        <w:rPr>
          <w:noProof/>
        </w:rPr>
        <w:fldChar w:fldCharType="separate"/>
      </w:r>
      <w:r>
        <w:rPr>
          <w:noProof/>
        </w:rPr>
        <w:t>- 23 -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i/>
          <w:noProof/>
        </w:rPr>
        <w:t>c)</w:t>
      </w:r>
      <w:r>
        <w:rPr>
          <w:rFonts w:asciiTheme="minorHAnsi" w:eastAsiaTheme="minorEastAsia" w:hAnsiTheme="minorHAnsi" w:cstheme="minorBidi"/>
          <w:bCs w:val="0"/>
          <w:noProof/>
          <w:sz w:val="22"/>
          <w:szCs w:val="22"/>
        </w:rPr>
        <w:tab/>
      </w:r>
      <w:r w:rsidRPr="00D33EE3">
        <w:rPr>
          <w:i/>
          <w:noProof/>
        </w:rPr>
        <w:t>Předpokládané vybavení stavby vyhrazenými požárně bezpečnostními zařízeními včetně stanovení požadavků pro provedení stavby</w:t>
      </w:r>
      <w:r>
        <w:rPr>
          <w:noProof/>
        </w:rPr>
        <w:tab/>
      </w:r>
      <w:r>
        <w:rPr>
          <w:noProof/>
        </w:rPr>
        <w:fldChar w:fldCharType="begin"/>
      </w:r>
      <w:r>
        <w:rPr>
          <w:noProof/>
        </w:rPr>
        <w:instrText xml:space="preserve"> PAGEREF _Toc27300993 \h </w:instrText>
      </w:r>
      <w:r>
        <w:rPr>
          <w:noProof/>
        </w:rPr>
      </w:r>
      <w:r>
        <w:rPr>
          <w:noProof/>
        </w:rPr>
        <w:fldChar w:fldCharType="separate"/>
      </w:r>
      <w:r>
        <w:rPr>
          <w:noProof/>
        </w:rPr>
        <w:t>- 23 -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i/>
          <w:noProof/>
        </w:rPr>
        <w:t>d)</w:t>
      </w:r>
      <w:r>
        <w:rPr>
          <w:rFonts w:asciiTheme="minorHAnsi" w:eastAsiaTheme="minorEastAsia" w:hAnsiTheme="minorHAnsi" w:cstheme="minorBidi"/>
          <w:bCs w:val="0"/>
          <w:noProof/>
          <w:sz w:val="22"/>
          <w:szCs w:val="22"/>
        </w:rPr>
        <w:tab/>
      </w:r>
      <w:r w:rsidRPr="00D33EE3">
        <w:rPr>
          <w:i/>
          <w:noProof/>
        </w:rPr>
        <w:t>Zhodnocení přístupových komunikací a nástupních ploch pro požární techniku včetně možnosti provedení zásahu jednotek požární ochrany</w:t>
      </w:r>
      <w:r>
        <w:rPr>
          <w:noProof/>
        </w:rPr>
        <w:tab/>
      </w:r>
      <w:r>
        <w:rPr>
          <w:noProof/>
        </w:rPr>
        <w:fldChar w:fldCharType="begin"/>
      </w:r>
      <w:r>
        <w:rPr>
          <w:noProof/>
        </w:rPr>
        <w:instrText xml:space="preserve"> PAGEREF _Toc27300994 \h </w:instrText>
      </w:r>
      <w:r>
        <w:rPr>
          <w:noProof/>
        </w:rPr>
      </w:r>
      <w:r>
        <w:rPr>
          <w:noProof/>
        </w:rPr>
        <w:fldChar w:fldCharType="separate"/>
      </w:r>
      <w:r>
        <w:rPr>
          <w:noProof/>
        </w:rPr>
        <w:t>- 23 -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color w:val="808080"/>
        </w:rPr>
        <w:t>2.9.</w:t>
      </w:r>
      <w:r>
        <w:rPr>
          <w:rFonts w:asciiTheme="minorHAnsi" w:eastAsiaTheme="minorEastAsia" w:hAnsiTheme="minorHAnsi" w:cstheme="minorBidi"/>
          <w:bCs w:val="0"/>
          <w:noProof/>
          <w:sz w:val="22"/>
          <w:szCs w:val="22"/>
        </w:rPr>
        <w:tab/>
      </w:r>
      <w:r w:rsidRPr="00D33EE3">
        <w:rPr>
          <w:rFonts w:cs="Calibri"/>
          <w:noProof/>
          <w:color w:val="808080"/>
        </w:rPr>
        <w:t>Úspora energie a tepelná ochrana</w:t>
      </w:r>
      <w:r>
        <w:rPr>
          <w:noProof/>
        </w:rPr>
        <w:tab/>
      </w:r>
      <w:r>
        <w:rPr>
          <w:noProof/>
        </w:rPr>
        <w:fldChar w:fldCharType="begin"/>
      </w:r>
      <w:r>
        <w:rPr>
          <w:noProof/>
        </w:rPr>
        <w:instrText xml:space="preserve"> PAGEREF _Toc27300995 \h </w:instrText>
      </w:r>
      <w:r>
        <w:rPr>
          <w:noProof/>
        </w:rPr>
      </w:r>
      <w:r>
        <w:rPr>
          <w:noProof/>
        </w:rPr>
        <w:fldChar w:fldCharType="separate"/>
      </w:r>
      <w:r>
        <w:rPr>
          <w:noProof/>
        </w:rPr>
        <w:t>- 23 -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color w:val="808080"/>
        </w:rPr>
        <w:t>2.10.</w:t>
      </w:r>
      <w:r>
        <w:rPr>
          <w:rFonts w:asciiTheme="minorHAnsi" w:eastAsiaTheme="minorEastAsia" w:hAnsiTheme="minorHAnsi" w:cstheme="minorBidi"/>
          <w:bCs w:val="0"/>
          <w:noProof/>
          <w:sz w:val="22"/>
          <w:szCs w:val="22"/>
        </w:rPr>
        <w:tab/>
      </w:r>
      <w:r w:rsidRPr="00D33EE3">
        <w:rPr>
          <w:rFonts w:cs="Calibri"/>
          <w:noProof/>
          <w:color w:val="808080"/>
        </w:rPr>
        <w:t>Hygienické požadavky na stavby, požadavky na pracovní a komunální prostředí</w:t>
      </w:r>
      <w:r>
        <w:rPr>
          <w:noProof/>
        </w:rPr>
        <w:tab/>
      </w:r>
      <w:r>
        <w:rPr>
          <w:noProof/>
        </w:rPr>
        <w:fldChar w:fldCharType="begin"/>
      </w:r>
      <w:r>
        <w:rPr>
          <w:noProof/>
        </w:rPr>
        <w:instrText xml:space="preserve"> PAGEREF _Toc27300996 \h </w:instrText>
      </w:r>
      <w:r>
        <w:rPr>
          <w:noProof/>
        </w:rPr>
      </w:r>
      <w:r>
        <w:rPr>
          <w:noProof/>
        </w:rPr>
        <w:fldChar w:fldCharType="separate"/>
      </w:r>
      <w:r>
        <w:rPr>
          <w:noProof/>
        </w:rPr>
        <w:t>- 24 -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color w:val="808080"/>
        </w:rPr>
        <w:t>2.11.</w:t>
      </w:r>
      <w:r>
        <w:rPr>
          <w:rFonts w:asciiTheme="minorHAnsi" w:eastAsiaTheme="minorEastAsia" w:hAnsiTheme="minorHAnsi" w:cstheme="minorBidi"/>
          <w:bCs w:val="0"/>
          <w:noProof/>
          <w:sz w:val="22"/>
          <w:szCs w:val="22"/>
        </w:rPr>
        <w:tab/>
      </w:r>
      <w:r w:rsidRPr="00D33EE3">
        <w:rPr>
          <w:rFonts w:cs="Calibri"/>
          <w:noProof/>
          <w:color w:val="808080"/>
        </w:rPr>
        <w:t>Zásady ochrany stavby před negativními účinky vnějšího prostředí</w:t>
      </w:r>
      <w:r>
        <w:rPr>
          <w:noProof/>
        </w:rPr>
        <w:tab/>
      </w:r>
      <w:r>
        <w:rPr>
          <w:noProof/>
        </w:rPr>
        <w:fldChar w:fldCharType="begin"/>
      </w:r>
      <w:r>
        <w:rPr>
          <w:noProof/>
        </w:rPr>
        <w:instrText xml:space="preserve"> PAGEREF _Toc27300997 \h </w:instrText>
      </w:r>
      <w:r>
        <w:rPr>
          <w:noProof/>
        </w:rPr>
      </w:r>
      <w:r>
        <w:rPr>
          <w:noProof/>
        </w:rPr>
        <w:fldChar w:fldCharType="separate"/>
      </w:r>
      <w:r>
        <w:rPr>
          <w:noProof/>
        </w:rPr>
        <w:t>- 24 -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rPr>
        <w:t>3.</w:t>
      </w:r>
      <w:r>
        <w:rPr>
          <w:rFonts w:asciiTheme="minorHAnsi" w:eastAsiaTheme="minorEastAsia" w:hAnsiTheme="minorHAnsi" w:cstheme="minorBidi"/>
          <w:bCs w:val="0"/>
          <w:noProof/>
          <w:sz w:val="22"/>
          <w:szCs w:val="22"/>
        </w:rPr>
        <w:tab/>
      </w:r>
      <w:r w:rsidRPr="00D33EE3">
        <w:rPr>
          <w:rFonts w:cs="Calibri"/>
          <w:noProof/>
        </w:rPr>
        <w:t>PŘIPOJENÍ NA TECHNICKOU INFRASTRUKTURU</w:t>
      </w:r>
      <w:r>
        <w:rPr>
          <w:noProof/>
        </w:rPr>
        <w:tab/>
      </w:r>
      <w:r>
        <w:rPr>
          <w:noProof/>
        </w:rPr>
        <w:fldChar w:fldCharType="begin"/>
      </w:r>
      <w:r>
        <w:rPr>
          <w:noProof/>
        </w:rPr>
        <w:instrText xml:space="preserve"> PAGEREF _Toc27300998 \h </w:instrText>
      </w:r>
      <w:r>
        <w:rPr>
          <w:noProof/>
        </w:rPr>
      </w:r>
      <w:r>
        <w:rPr>
          <w:noProof/>
        </w:rPr>
        <w:fldChar w:fldCharType="separate"/>
      </w:r>
      <w:r>
        <w:rPr>
          <w:noProof/>
        </w:rPr>
        <w:t>- 24 -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808080"/>
        </w:rPr>
        <w:t>a)</w:t>
      </w:r>
      <w:r>
        <w:rPr>
          <w:rFonts w:asciiTheme="minorHAnsi" w:eastAsiaTheme="minorEastAsia" w:hAnsiTheme="minorHAnsi" w:cstheme="minorBidi"/>
          <w:bCs w:val="0"/>
          <w:noProof/>
          <w:sz w:val="22"/>
          <w:szCs w:val="22"/>
        </w:rPr>
        <w:tab/>
      </w:r>
      <w:r w:rsidRPr="00D33EE3">
        <w:rPr>
          <w:noProof/>
          <w:color w:val="808080"/>
        </w:rPr>
        <w:t>Napojovací místa technické infrastruktury, přeložky</w:t>
      </w:r>
      <w:r>
        <w:rPr>
          <w:noProof/>
        </w:rPr>
        <w:tab/>
      </w:r>
      <w:r>
        <w:rPr>
          <w:noProof/>
        </w:rPr>
        <w:fldChar w:fldCharType="begin"/>
      </w:r>
      <w:r>
        <w:rPr>
          <w:noProof/>
        </w:rPr>
        <w:instrText xml:space="preserve"> PAGEREF _Toc27300999 \h </w:instrText>
      </w:r>
      <w:r>
        <w:rPr>
          <w:noProof/>
        </w:rPr>
      </w:r>
      <w:r>
        <w:rPr>
          <w:noProof/>
        </w:rPr>
        <w:fldChar w:fldCharType="separate"/>
      </w:r>
      <w:r>
        <w:rPr>
          <w:noProof/>
        </w:rPr>
        <w:t>- 24 -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808080"/>
        </w:rPr>
        <w:t>b)</w:t>
      </w:r>
      <w:r>
        <w:rPr>
          <w:rFonts w:asciiTheme="minorHAnsi" w:eastAsiaTheme="minorEastAsia" w:hAnsiTheme="minorHAnsi" w:cstheme="minorBidi"/>
          <w:bCs w:val="0"/>
          <w:noProof/>
          <w:sz w:val="22"/>
          <w:szCs w:val="22"/>
        </w:rPr>
        <w:tab/>
      </w:r>
      <w:r w:rsidRPr="00D33EE3">
        <w:rPr>
          <w:noProof/>
          <w:color w:val="808080"/>
        </w:rPr>
        <w:t>Připojovací rozměry, výkonné kapacity a délky</w:t>
      </w:r>
      <w:r>
        <w:rPr>
          <w:noProof/>
        </w:rPr>
        <w:tab/>
      </w:r>
      <w:r>
        <w:rPr>
          <w:noProof/>
        </w:rPr>
        <w:fldChar w:fldCharType="begin"/>
      </w:r>
      <w:r>
        <w:rPr>
          <w:noProof/>
        </w:rPr>
        <w:instrText xml:space="preserve"> PAGEREF _Toc27301000 \h </w:instrText>
      </w:r>
      <w:r>
        <w:rPr>
          <w:noProof/>
        </w:rPr>
      </w:r>
      <w:r>
        <w:rPr>
          <w:noProof/>
        </w:rPr>
        <w:fldChar w:fldCharType="separate"/>
      </w:r>
      <w:r>
        <w:rPr>
          <w:noProof/>
        </w:rPr>
        <w:t>- 24 -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rPr>
        <w:t>4.</w:t>
      </w:r>
      <w:r>
        <w:rPr>
          <w:rFonts w:asciiTheme="minorHAnsi" w:eastAsiaTheme="minorEastAsia" w:hAnsiTheme="minorHAnsi" w:cstheme="minorBidi"/>
          <w:bCs w:val="0"/>
          <w:noProof/>
          <w:sz w:val="22"/>
          <w:szCs w:val="22"/>
        </w:rPr>
        <w:tab/>
      </w:r>
      <w:r w:rsidRPr="00D33EE3">
        <w:rPr>
          <w:rFonts w:cs="Calibri"/>
          <w:noProof/>
        </w:rPr>
        <w:t>DOPRAVNÍ ŘEŠENÍ</w:t>
      </w:r>
      <w:r>
        <w:rPr>
          <w:noProof/>
        </w:rPr>
        <w:tab/>
      </w:r>
      <w:r>
        <w:rPr>
          <w:noProof/>
        </w:rPr>
        <w:fldChar w:fldCharType="begin"/>
      </w:r>
      <w:r>
        <w:rPr>
          <w:noProof/>
        </w:rPr>
        <w:instrText xml:space="preserve"> PAGEREF _Toc27301001 \h </w:instrText>
      </w:r>
      <w:r>
        <w:rPr>
          <w:noProof/>
        </w:rPr>
      </w:r>
      <w:r>
        <w:rPr>
          <w:noProof/>
        </w:rPr>
        <w:fldChar w:fldCharType="separate"/>
      </w:r>
      <w:r>
        <w:rPr>
          <w:noProof/>
        </w:rPr>
        <w:t>- 25 -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808080"/>
        </w:rPr>
        <w:t>a)</w:t>
      </w:r>
      <w:r>
        <w:rPr>
          <w:rFonts w:asciiTheme="minorHAnsi" w:eastAsiaTheme="minorEastAsia" w:hAnsiTheme="minorHAnsi" w:cstheme="minorBidi"/>
          <w:bCs w:val="0"/>
          <w:noProof/>
          <w:sz w:val="22"/>
          <w:szCs w:val="22"/>
        </w:rPr>
        <w:tab/>
      </w:r>
      <w:r w:rsidRPr="00D33EE3">
        <w:rPr>
          <w:noProof/>
          <w:color w:val="808080"/>
        </w:rPr>
        <w:t>Popis dopravního řešení</w:t>
      </w:r>
      <w:r>
        <w:rPr>
          <w:noProof/>
        </w:rPr>
        <w:tab/>
      </w:r>
      <w:r>
        <w:rPr>
          <w:noProof/>
        </w:rPr>
        <w:fldChar w:fldCharType="begin"/>
      </w:r>
      <w:r>
        <w:rPr>
          <w:noProof/>
        </w:rPr>
        <w:instrText xml:space="preserve"> PAGEREF _Toc27301002 \h </w:instrText>
      </w:r>
      <w:r>
        <w:rPr>
          <w:noProof/>
        </w:rPr>
      </w:r>
      <w:r>
        <w:rPr>
          <w:noProof/>
        </w:rPr>
        <w:fldChar w:fldCharType="separate"/>
      </w:r>
      <w:r>
        <w:rPr>
          <w:noProof/>
        </w:rPr>
        <w:t>- 25 -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808080"/>
        </w:rPr>
        <w:lastRenderedPageBreak/>
        <w:t>b)</w:t>
      </w:r>
      <w:r>
        <w:rPr>
          <w:rFonts w:asciiTheme="minorHAnsi" w:eastAsiaTheme="minorEastAsia" w:hAnsiTheme="minorHAnsi" w:cstheme="minorBidi"/>
          <w:bCs w:val="0"/>
          <w:noProof/>
          <w:sz w:val="22"/>
          <w:szCs w:val="22"/>
        </w:rPr>
        <w:tab/>
      </w:r>
      <w:r w:rsidRPr="00D33EE3">
        <w:rPr>
          <w:noProof/>
          <w:color w:val="808080"/>
        </w:rPr>
        <w:t>Napojení území na stávající dopravní infrastrukturu</w:t>
      </w:r>
      <w:r>
        <w:rPr>
          <w:noProof/>
        </w:rPr>
        <w:tab/>
      </w:r>
      <w:r>
        <w:rPr>
          <w:noProof/>
        </w:rPr>
        <w:fldChar w:fldCharType="begin"/>
      </w:r>
      <w:r>
        <w:rPr>
          <w:noProof/>
        </w:rPr>
        <w:instrText xml:space="preserve"> PAGEREF _Toc27301003 \h </w:instrText>
      </w:r>
      <w:r>
        <w:rPr>
          <w:noProof/>
        </w:rPr>
      </w:r>
      <w:r>
        <w:rPr>
          <w:noProof/>
        </w:rPr>
        <w:fldChar w:fldCharType="separate"/>
      </w:r>
      <w:r>
        <w:rPr>
          <w:noProof/>
        </w:rPr>
        <w:t>- 25 -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808080"/>
        </w:rPr>
        <w:t>c)</w:t>
      </w:r>
      <w:r>
        <w:rPr>
          <w:rFonts w:asciiTheme="minorHAnsi" w:eastAsiaTheme="minorEastAsia" w:hAnsiTheme="minorHAnsi" w:cstheme="minorBidi"/>
          <w:bCs w:val="0"/>
          <w:noProof/>
          <w:sz w:val="22"/>
          <w:szCs w:val="22"/>
        </w:rPr>
        <w:tab/>
      </w:r>
      <w:r w:rsidRPr="00D33EE3">
        <w:rPr>
          <w:noProof/>
          <w:color w:val="808080"/>
        </w:rPr>
        <w:t>Doprava v klidu</w:t>
      </w:r>
      <w:r>
        <w:rPr>
          <w:noProof/>
        </w:rPr>
        <w:tab/>
      </w:r>
      <w:r>
        <w:rPr>
          <w:noProof/>
        </w:rPr>
        <w:fldChar w:fldCharType="begin"/>
      </w:r>
      <w:r>
        <w:rPr>
          <w:noProof/>
        </w:rPr>
        <w:instrText xml:space="preserve"> PAGEREF _Toc27301004 \h </w:instrText>
      </w:r>
      <w:r>
        <w:rPr>
          <w:noProof/>
        </w:rPr>
      </w:r>
      <w:r>
        <w:rPr>
          <w:noProof/>
        </w:rPr>
        <w:fldChar w:fldCharType="separate"/>
      </w:r>
      <w:r>
        <w:rPr>
          <w:noProof/>
        </w:rPr>
        <w:t>- 25 -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808080"/>
        </w:rPr>
        <w:t>d)</w:t>
      </w:r>
      <w:r>
        <w:rPr>
          <w:rFonts w:asciiTheme="minorHAnsi" w:eastAsiaTheme="minorEastAsia" w:hAnsiTheme="minorHAnsi" w:cstheme="minorBidi"/>
          <w:bCs w:val="0"/>
          <w:noProof/>
          <w:sz w:val="22"/>
          <w:szCs w:val="22"/>
        </w:rPr>
        <w:tab/>
      </w:r>
      <w:r w:rsidRPr="00D33EE3">
        <w:rPr>
          <w:noProof/>
          <w:color w:val="808080"/>
        </w:rPr>
        <w:t>Pěší a cyklistické stezky</w:t>
      </w:r>
      <w:r>
        <w:rPr>
          <w:noProof/>
        </w:rPr>
        <w:tab/>
      </w:r>
      <w:r>
        <w:rPr>
          <w:noProof/>
        </w:rPr>
        <w:fldChar w:fldCharType="begin"/>
      </w:r>
      <w:r>
        <w:rPr>
          <w:noProof/>
        </w:rPr>
        <w:instrText xml:space="preserve"> PAGEREF _Toc27301005 \h </w:instrText>
      </w:r>
      <w:r>
        <w:rPr>
          <w:noProof/>
        </w:rPr>
      </w:r>
      <w:r>
        <w:rPr>
          <w:noProof/>
        </w:rPr>
        <w:fldChar w:fldCharType="separate"/>
      </w:r>
      <w:r>
        <w:rPr>
          <w:noProof/>
        </w:rPr>
        <w:t>- 25 -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rPr>
        <w:t>5.</w:t>
      </w:r>
      <w:r>
        <w:rPr>
          <w:rFonts w:asciiTheme="minorHAnsi" w:eastAsiaTheme="minorEastAsia" w:hAnsiTheme="minorHAnsi" w:cstheme="minorBidi"/>
          <w:bCs w:val="0"/>
          <w:noProof/>
          <w:sz w:val="22"/>
          <w:szCs w:val="22"/>
        </w:rPr>
        <w:tab/>
      </w:r>
      <w:r w:rsidRPr="00D33EE3">
        <w:rPr>
          <w:rFonts w:cs="Calibri"/>
          <w:noProof/>
        </w:rPr>
        <w:t>ŘEŠENÍ VEGETACE A SOUVISEJÍCÍCH TERÉNNÍCH ÚPRAV</w:t>
      </w:r>
      <w:r>
        <w:rPr>
          <w:noProof/>
        </w:rPr>
        <w:tab/>
      </w:r>
      <w:r>
        <w:rPr>
          <w:noProof/>
        </w:rPr>
        <w:fldChar w:fldCharType="begin"/>
      </w:r>
      <w:r>
        <w:rPr>
          <w:noProof/>
        </w:rPr>
        <w:instrText xml:space="preserve"> PAGEREF _Toc27301006 \h </w:instrText>
      </w:r>
      <w:r>
        <w:rPr>
          <w:noProof/>
        </w:rPr>
      </w:r>
      <w:r>
        <w:rPr>
          <w:noProof/>
        </w:rPr>
        <w:fldChar w:fldCharType="separate"/>
      </w:r>
      <w:r>
        <w:rPr>
          <w:noProof/>
        </w:rPr>
        <w:t>- 25 -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808080"/>
        </w:rPr>
        <w:t>a)</w:t>
      </w:r>
      <w:r>
        <w:rPr>
          <w:rFonts w:asciiTheme="minorHAnsi" w:eastAsiaTheme="minorEastAsia" w:hAnsiTheme="minorHAnsi" w:cstheme="minorBidi"/>
          <w:bCs w:val="0"/>
          <w:noProof/>
          <w:sz w:val="22"/>
          <w:szCs w:val="22"/>
        </w:rPr>
        <w:tab/>
      </w:r>
      <w:r w:rsidRPr="00D33EE3">
        <w:rPr>
          <w:noProof/>
          <w:color w:val="808080"/>
        </w:rPr>
        <w:t>Terénní úpravy</w:t>
      </w:r>
      <w:r>
        <w:rPr>
          <w:noProof/>
        </w:rPr>
        <w:tab/>
      </w:r>
      <w:r>
        <w:rPr>
          <w:noProof/>
        </w:rPr>
        <w:fldChar w:fldCharType="begin"/>
      </w:r>
      <w:r>
        <w:rPr>
          <w:noProof/>
        </w:rPr>
        <w:instrText xml:space="preserve"> PAGEREF _Toc27301007 \h </w:instrText>
      </w:r>
      <w:r>
        <w:rPr>
          <w:noProof/>
        </w:rPr>
      </w:r>
      <w:r>
        <w:rPr>
          <w:noProof/>
        </w:rPr>
        <w:fldChar w:fldCharType="separate"/>
      </w:r>
      <w:r>
        <w:rPr>
          <w:noProof/>
        </w:rPr>
        <w:t>- 25 -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808080"/>
        </w:rPr>
        <w:t>b)</w:t>
      </w:r>
      <w:r>
        <w:rPr>
          <w:rFonts w:asciiTheme="minorHAnsi" w:eastAsiaTheme="minorEastAsia" w:hAnsiTheme="minorHAnsi" w:cstheme="minorBidi"/>
          <w:bCs w:val="0"/>
          <w:noProof/>
          <w:sz w:val="22"/>
          <w:szCs w:val="22"/>
        </w:rPr>
        <w:tab/>
      </w:r>
      <w:r w:rsidRPr="00D33EE3">
        <w:rPr>
          <w:noProof/>
          <w:color w:val="808080"/>
        </w:rPr>
        <w:t>Použité vegetační prvky</w:t>
      </w:r>
      <w:r>
        <w:rPr>
          <w:noProof/>
        </w:rPr>
        <w:tab/>
      </w:r>
      <w:r>
        <w:rPr>
          <w:noProof/>
        </w:rPr>
        <w:fldChar w:fldCharType="begin"/>
      </w:r>
      <w:r>
        <w:rPr>
          <w:noProof/>
        </w:rPr>
        <w:instrText xml:space="preserve"> PAGEREF _Toc27301008 \h </w:instrText>
      </w:r>
      <w:r>
        <w:rPr>
          <w:noProof/>
        </w:rPr>
      </w:r>
      <w:r>
        <w:rPr>
          <w:noProof/>
        </w:rPr>
        <w:fldChar w:fldCharType="separate"/>
      </w:r>
      <w:r>
        <w:rPr>
          <w:noProof/>
        </w:rPr>
        <w:t>- 25 -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808080"/>
        </w:rPr>
        <w:t>c)</w:t>
      </w:r>
      <w:r>
        <w:rPr>
          <w:rFonts w:asciiTheme="minorHAnsi" w:eastAsiaTheme="minorEastAsia" w:hAnsiTheme="minorHAnsi" w:cstheme="minorBidi"/>
          <w:bCs w:val="0"/>
          <w:noProof/>
          <w:sz w:val="22"/>
          <w:szCs w:val="22"/>
        </w:rPr>
        <w:tab/>
      </w:r>
      <w:r w:rsidRPr="00D33EE3">
        <w:rPr>
          <w:noProof/>
          <w:color w:val="808080"/>
        </w:rPr>
        <w:t>Biotechnická, protierozní opatření</w:t>
      </w:r>
      <w:r>
        <w:rPr>
          <w:noProof/>
        </w:rPr>
        <w:tab/>
      </w:r>
      <w:r>
        <w:rPr>
          <w:noProof/>
        </w:rPr>
        <w:fldChar w:fldCharType="begin"/>
      </w:r>
      <w:r>
        <w:rPr>
          <w:noProof/>
        </w:rPr>
        <w:instrText xml:space="preserve"> PAGEREF _Toc27301009 \h </w:instrText>
      </w:r>
      <w:r>
        <w:rPr>
          <w:noProof/>
        </w:rPr>
      </w:r>
      <w:r>
        <w:rPr>
          <w:noProof/>
        </w:rPr>
        <w:fldChar w:fldCharType="separate"/>
      </w:r>
      <w:r>
        <w:rPr>
          <w:noProof/>
        </w:rPr>
        <w:t>- 25 -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rPr>
        <w:t>6.</w:t>
      </w:r>
      <w:r>
        <w:rPr>
          <w:rFonts w:asciiTheme="minorHAnsi" w:eastAsiaTheme="minorEastAsia" w:hAnsiTheme="minorHAnsi" w:cstheme="minorBidi"/>
          <w:bCs w:val="0"/>
          <w:noProof/>
          <w:sz w:val="22"/>
          <w:szCs w:val="22"/>
        </w:rPr>
        <w:tab/>
      </w:r>
      <w:r w:rsidRPr="00D33EE3">
        <w:rPr>
          <w:rFonts w:cs="Calibri"/>
          <w:noProof/>
        </w:rPr>
        <w:t>POPIS VLIVŮ STAVBY NA ŽIVOTNÍ PROSTŘEDÍ A JEHO OCHRANA</w:t>
      </w:r>
      <w:r>
        <w:rPr>
          <w:noProof/>
        </w:rPr>
        <w:tab/>
      </w:r>
      <w:r>
        <w:rPr>
          <w:noProof/>
        </w:rPr>
        <w:fldChar w:fldCharType="begin"/>
      </w:r>
      <w:r>
        <w:rPr>
          <w:noProof/>
        </w:rPr>
        <w:instrText xml:space="preserve"> PAGEREF _Toc27301010 \h </w:instrText>
      </w:r>
      <w:r>
        <w:rPr>
          <w:noProof/>
        </w:rPr>
      </w:r>
      <w:r>
        <w:rPr>
          <w:noProof/>
        </w:rPr>
        <w:fldChar w:fldCharType="separate"/>
      </w:r>
      <w:r>
        <w:rPr>
          <w:noProof/>
        </w:rPr>
        <w:t>- 26 -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808080"/>
        </w:rPr>
        <w:t>a)</w:t>
      </w:r>
      <w:r>
        <w:rPr>
          <w:rFonts w:asciiTheme="minorHAnsi" w:eastAsiaTheme="minorEastAsia" w:hAnsiTheme="minorHAnsi" w:cstheme="minorBidi"/>
          <w:bCs w:val="0"/>
          <w:noProof/>
          <w:sz w:val="22"/>
          <w:szCs w:val="22"/>
        </w:rPr>
        <w:tab/>
      </w:r>
      <w:r w:rsidRPr="00D33EE3">
        <w:rPr>
          <w:noProof/>
          <w:color w:val="808080"/>
        </w:rPr>
        <w:t>Vliv na životní prostředí – ovzduší, hluk, voda, odpady, půda</w:t>
      </w:r>
      <w:r>
        <w:rPr>
          <w:noProof/>
        </w:rPr>
        <w:tab/>
      </w:r>
      <w:r>
        <w:rPr>
          <w:noProof/>
        </w:rPr>
        <w:fldChar w:fldCharType="begin"/>
      </w:r>
      <w:r>
        <w:rPr>
          <w:noProof/>
        </w:rPr>
        <w:instrText xml:space="preserve"> PAGEREF _Toc27301011 \h </w:instrText>
      </w:r>
      <w:r>
        <w:rPr>
          <w:noProof/>
        </w:rPr>
      </w:r>
      <w:r>
        <w:rPr>
          <w:noProof/>
        </w:rPr>
        <w:fldChar w:fldCharType="separate"/>
      </w:r>
      <w:r>
        <w:rPr>
          <w:noProof/>
        </w:rPr>
        <w:t>- 26 -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808080"/>
        </w:rPr>
        <w:t>b)</w:t>
      </w:r>
      <w:r>
        <w:rPr>
          <w:rFonts w:asciiTheme="minorHAnsi" w:eastAsiaTheme="minorEastAsia" w:hAnsiTheme="minorHAnsi" w:cstheme="minorBidi"/>
          <w:bCs w:val="0"/>
          <w:noProof/>
          <w:sz w:val="22"/>
          <w:szCs w:val="22"/>
        </w:rPr>
        <w:tab/>
      </w:r>
      <w:r w:rsidRPr="00D33EE3">
        <w:rPr>
          <w:noProof/>
          <w:color w:val="808080"/>
        </w:rPr>
        <w:t>Vliv na přírodu a krajinu (ochrana dřevin, ochrana památných stromů, ochrana rostlin a živočichů apod.), zachování ekologických funkcí a vazeb v krajině</w:t>
      </w:r>
      <w:r>
        <w:rPr>
          <w:noProof/>
        </w:rPr>
        <w:tab/>
      </w:r>
      <w:r>
        <w:rPr>
          <w:noProof/>
        </w:rPr>
        <w:fldChar w:fldCharType="begin"/>
      </w:r>
      <w:r>
        <w:rPr>
          <w:noProof/>
        </w:rPr>
        <w:instrText xml:space="preserve"> PAGEREF _Toc27301012 \h </w:instrText>
      </w:r>
      <w:r>
        <w:rPr>
          <w:noProof/>
        </w:rPr>
      </w:r>
      <w:r>
        <w:rPr>
          <w:noProof/>
        </w:rPr>
        <w:fldChar w:fldCharType="separate"/>
      </w:r>
      <w:r>
        <w:rPr>
          <w:noProof/>
        </w:rPr>
        <w:t>- 28 -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808080"/>
        </w:rPr>
        <w:t>c)</w:t>
      </w:r>
      <w:r>
        <w:rPr>
          <w:rFonts w:asciiTheme="minorHAnsi" w:eastAsiaTheme="minorEastAsia" w:hAnsiTheme="minorHAnsi" w:cstheme="minorBidi"/>
          <w:bCs w:val="0"/>
          <w:noProof/>
          <w:sz w:val="22"/>
          <w:szCs w:val="22"/>
        </w:rPr>
        <w:tab/>
      </w:r>
      <w:r w:rsidRPr="00D33EE3">
        <w:rPr>
          <w:noProof/>
          <w:color w:val="808080"/>
        </w:rPr>
        <w:t>Vliv na soustavu chráněných území Natura 2000</w:t>
      </w:r>
      <w:r>
        <w:rPr>
          <w:noProof/>
        </w:rPr>
        <w:tab/>
      </w:r>
      <w:r>
        <w:rPr>
          <w:noProof/>
        </w:rPr>
        <w:fldChar w:fldCharType="begin"/>
      </w:r>
      <w:r>
        <w:rPr>
          <w:noProof/>
        </w:rPr>
        <w:instrText xml:space="preserve"> PAGEREF _Toc27301013 \h </w:instrText>
      </w:r>
      <w:r>
        <w:rPr>
          <w:noProof/>
        </w:rPr>
      </w:r>
      <w:r>
        <w:rPr>
          <w:noProof/>
        </w:rPr>
        <w:fldChar w:fldCharType="separate"/>
      </w:r>
      <w:r>
        <w:rPr>
          <w:noProof/>
        </w:rPr>
        <w:t>- 28 -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808080"/>
        </w:rPr>
        <w:t>d)</w:t>
      </w:r>
      <w:r>
        <w:rPr>
          <w:rFonts w:asciiTheme="minorHAnsi" w:eastAsiaTheme="minorEastAsia" w:hAnsiTheme="minorHAnsi" w:cstheme="minorBidi"/>
          <w:bCs w:val="0"/>
          <w:noProof/>
          <w:sz w:val="22"/>
          <w:szCs w:val="22"/>
        </w:rPr>
        <w:tab/>
      </w:r>
      <w:r w:rsidRPr="00D33EE3">
        <w:rPr>
          <w:noProof/>
          <w:color w:val="808080"/>
        </w:rPr>
        <w:t>Návrh zohlednění podmínek ze závěru zjišťovacího řízení EIA</w:t>
      </w:r>
      <w:r>
        <w:rPr>
          <w:noProof/>
        </w:rPr>
        <w:tab/>
      </w:r>
      <w:r>
        <w:rPr>
          <w:noProof/>
        </w:rPr>
        <w:fldChar w:fldCharType="begin"/>
      </w:r>
      <w:r>
        <w:rPr>
          <w:noProof/>
        </w:rPr>
        <w:instrText xml:space="preserve"> PAGEREF _Toc27301014 \h </w:instrText>
      </w:r>
      <w:r>
        <w:rPr>
          <w:noProof/>
        </w:rPr>
      </w:r>
      <w:r>
        <w:rPr>
          <w:noProof/>
        </w:rPr>
        <w:fldChar w:fldCharType="separate"/>
      </w:r>
      <w:r>
        <w:rPr>
          <w:noProof/>
        </w:rPr>
        <w:t>- 29 -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808080"/>
        </w:rPr>
        <w:t>e)</w:t>
      </w:r>
      <w:r>
        <w:rPr>
          <w:rFonts w:asciiTheme="minorHAnsi" w:eastAsiaTheme="minorEastAsia" w:hAnsiTheme="minorHAnsi" w:cstheme="minorBidi"/>
          <w:bCs w:val="0"/>
          <w:noProof/>
          <w:sz w:val="22"/>
          <w:szCs w:val="22"/>
        </w:rPr>
        <w:tab/>
      </w:r>
      <w:r w:rsidRPr="00D33EE3">
        <w:rPr>
          <w:noProof/>
          <w:color w:val="808080"/>
        </w:rPr>
        <w:t>Navrhovaná ochranná a bezpečnostní pásma, rozsah omezení a podmínky ochrany podle jiných právních předpisů</w:t>
      </w:r>
      <w:r>
        <w:rPr>
          <w:noProof/>
        </w:rPr>
        <w:tab/>
      </w:r>
      <w:r>
        <w:rPr>
          <w:noProof/>
        </w:rPr>
        <w:fldChar w:fldCharType="begin"/>
      </w:r>
      <w:r>
        <w:rPr>
          <w:noProof/>
        </w:rPr>
        <w:instrText xml:space="preserve"> PAGEREF _Toc27301015 \h </w:instrText>
      </w:r>
      <w:r>
        <w:rPr>
          <w:noProof/>
        </w:rPr>
      </w:r>
      <w:r>
        <w:rPr>
          <w:noProof/>
        </w:rPr>
        <w:fldChar w:fldCharType="separate"/>
      </w:r>
      <w:r>
        <w:rPr>
          <w:noProof/>
        </w:rPr>
        <w:t>- 29 -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rPr>
        <w:t>7.</w:t>
      </w:r>
      <w:r>
        <w:rPr>
          <w:rFonts w:asciiTheme="minorHAnsi" w:eastAsiaTheme="minorEastAsia" w:hAnsiTheme="minorHAnsi" w:cstheme="minorBidi"/>
          <w:bCs w:val="0"/>
          <w:noProof/>
          <w:sz w:val="22"/>
          <w:szCs w:val="22"/>
        </w:rPr>
        <w:tab/>
      </w:r>
      <w:r w:rsidRPr="00D33EE3">
        <w:rPr>
          <w:rFonts w:cs="Calibri"/>
          <w:noProof/>
        </w:rPr>
        <w:t>OCHRANA OBYVATELSTVA</w:t>
      </w:r>
      <w:r>
        <w:rPr>
          <w:noProof/>
        </w:rPr>
        <w:tab/>
      </w:r>
      <w:r>
        <w:rPr>
          <w:noProof/>
        </w:rPr>
        <w:fldChar w:fldCharType="begin"/>
      </w:r>
      <w:r>
        <w:rPr>
          <w:noProof/>
        </w:rPr>
        <w:instrText xml:space="preserve"> PAGEREF _Toc27301016 \h </w:instrText>
      </w:r>
      <w:r>
        <w:rPr>
          <w:noProof/>
        </w:rPr>
      </w:r>
      <w:r>
        <w:rPr>
          <w:noProof/>
        </w:rPr>
        <w:fldChar w:fldCharType="separate"/>
      </w:r>
      <w:r>
        <w:rPr>
          <w:noProof/>
        </w:rPr>
        <w:t>- 29 -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rPr>
        <w:t>8.</w:t>
      </w:r>
      <w:r>
        <w:rPr>
          <w:rFonts w:asciiTheme="minorHAnsi" w:eastAsiaTheme="minorEastAsia" w:hAnsiTheme="minorHAnsi" w:cstheme="minorBidi"/>
          <w:bCs w:val="0"/>
          <w:noProof/>
          <w:sz w:val="22"/>
          <w:szCs w:val="22"/>
        </w:rPr>
        <w:tab/>
      </w:r>
      <w:r w:rsidRPr="00D33EE3">
        <w:rPr>
          <w:rFonts w:cs="Calibri"/>
          <w:noProof/>
        </w:rPr>
        <w:t>ZÁSADY ORGANIZACE VÝSTAVBY</w:t>
      </w:r>
      <w:r>
        <w:rPr>
          <w:noProof/>
        </w:rPr>
        <w:tab/>
      </w:r>
      <w:r>
        <w:rPr>
          <w:noProof/>
        </w:rPr>
        <w:fldChar w:fldCharType="begin"/>
      </w:r>
      <w:r>
        <w:rPr>
          <w:noProof/>
        </w:rPr>
        <w:instrText xml:space="preserve"> PAGEREF _Toc27301017 \h </w:instrText>
      </w:r>
      <w:r>
        <w:rPr>
          <w:noProof/>
        </w:rPr>
      </w:r>
      <w:r>
        <w:rPr>
          <w:noProof/>
        </w:rPr>
        <w:fldChar w:fldCharType="separate"/>
      </w:r>
      <w:r>
        <w:rPr>
          <w:noProof/>
        </w:rPr>
        <w:t>- 29 -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noProof/>
          <w:color w:val="808080"/>
        </w:rPr>
        <w:t>a)</w:t>
      </w:r>
      <w:r>
        <w:rPr>
          <w:rFonts w:asciiTheme="minorHAnsi" w:eastAsiaTheme="minorEastAsia" w:hAnsiTheme="minorHAnsi" w:cstheme="minorBidi"/>
          <w:bCs w:val="0"/>
          <w:noProof/>
          <w:sz w:val="22"/>
          <w:szCs w:val="22"/>
        </w:rPr>
        <w:tab/>
      </w:r>
      <w:r w:rsidRPr="00D33EE3">
        <w:rPr>
          <w:noProof/>
          <w:color w:val="808080"/>
        </w:rPr>
        <w:t>Napojení staveniště na stávající dopravní a technickou infrastrukturu</w:t>
      </w:r>
      <w:r>
        <w:rPr>
          <w:noProof/>
        </w:rPr>
        <w:tab/>
      </w:r>
      <w:r>
        <w:rPr>
          <w:noProof/>
        </w:rPr>
        <w:fldChar w:fldCharType="begin"/>
      </w:r>
      <w:r>
        <w:rPr>
          <w:noProof/>
        </w:rPr>
        <w:instrText xml:space="preserve"> PAGEREF _Toc27301018 \h </w:instrText>
      </w:r>
      <w:r>
        <w:rPr>
          <w:noProof/>
        </w:rPr>
      </w:r>
      <w:r>
        <w:rPr>
          <w:noProof/>
        </w:rPr>
        <w:fldChar w:fldCharType="separate"/>
      </w:r>
      <w:r>
        <w:rPr>
          <w:noProof/>
        </w:rPr>
        <w:t>- 29 -</w:t>
      </w:r>
      <w:r>
        <w:rPr>
          <w:noProof/>
        </w:rPr>
        <w:fldChar w:fldCharType="end"/>
      </w:r>
    </w:p>
    <w:p w:rsidR="00F70F28" w:rsidRDefault="00F70F28">
      <w:pPr>
        <w:pStyle w:val="Obsah1"/>
        <w:rPr>
          <w:rFonts w:asciiTheme="minorHAnsi" w:eastAsiaTheme="minorEastAsia" w:hAnsiTheme="minorHAnsi" w:cstheme="minorBidi"/>
          <w:bCs w:val="0"/>
          <w:noProof/>
          <w:sz w:val="22"/>
          <w:szCs w:val="22"/>
        </w:rPr>
      </w:pPr>
      <w:r w:rsidRPr="00D33EE3">
        <w:rPr>
          <w:rFonts w:cs="Calibri"/>
          <w:noProof/>
        </w:rPr>
        <w:t>9.</w:t>
      </w:r>
      <w:r>
        <w:rPr>
          <w:rFonts w:asciiTheme="minorHAnsi" w:eastAsiaTheme="minorEastAsia" w:hAnsiTheme="minorHAnsi" w:cstheme="minorBidi"/>
          <w:bCs w:val="0"/>
          <w:noProof/>
          <w:sz w:val="22"/>
          <w:szCs w:val="22"/>
        </w:rPr>
        <w:tab/>
      </w:r>
      <w:r w:rsidRPr="00D33EE3">
        <w:rPr>
          <w:rFonts w:cs="Calibri"/>
          <w:noProof/>
        </w:rPr>
        <w:t>CELKOVÉ VODOHOSPODÁŘSKÉ ŘEŠENÍ</w:t>
      </w:r>
      <w:r>
        <w:rPr>
          <w:noProof/>
        </w:rPr>
        <w:tab/>
      </w:r>
      <w:r>
        <w:rPr>
          <w:noProof/>
        </w:rPr>
        <w:fldChar w:fldCharType="begin"/>
      </w:r>
      <w:r>
        <w:rPr>
          <w:noProof/>
        </w:rPr>
        <w:instrText xml:space="preserve"> PAGEREF _Toc27301019 \h </w:instrText>
      </w:r>
      <w:r>
        <w:rPr>
          <w:noProof/>
        </w:rPr>
      </w:r>
      <w:r>
        <w:rPr>
          <w:noProof/>
        </w:rPr>
        <w:fldChar w:fldCharType="separate"/>
      </w:r>
      <w:r>
        <w:rPr>
          <w:noProof/>
        </w:rPr>
        <w:t>- 30 -</w:t>
      </w:r>
      <w:r>
        <w:rPr>
          <w:noProof/>
        </w:rPr>
        <w:fldChar w:fldCharType="end"/>
      </w:r>
    </w:p>
    <w:p w:rsidR="00002B4E" w:rsidRPr="002D576F" w:rsidRDefault="00002B4E" w:rsidP="002D576F">
      <w:pPr>
        <w:pStyle w:val="Obsah2"/>
        <w:ind w:left="0"/>
        <w:rPr>
          <w:rFonts w:cs="Calibri"/>
          <w:b/>
          <w:bCs/>
          <w:color w:val="FF0000"/>
        </w:rPr>
      </w:pPr>
      <w:r>
        <w:rPr>
          <w:rFonts w:cs="Calibri"/>
          <w:b/>
          <w:bCs/>
          <w:i w:val="0"/>
          <w:iCs w:val="0"/>
          <w:color w:val="FF0000"/>
        </w:rPr>
        <w:fldChar w:fldCharType="end"/>
      </w:r>
    </w:p>
    <w:p w:rsidR="00002B4E" w:rsidRDefault="00002B4E" w:rsidP="00942DA7">
      <w:pPr>
        <w:spacing w:line="360" w:lineRule="auto"/>
        <w:rPr>
          <w:rFonts w:ascii="Calibri" w:hAnsi="Calibri" w:cs="Calibri"/>
          <w:b/>
          <w:bCs/>
          <w:kern w:val="32"/>
        </w:rPr>
      </w:pPr>
      <w:r>
        <w:rPr>
          <w:rFonts w:ascii="Calibri" w:hAnsi="Calibri" w:cs="Calibri"/>
        </w:rPr>
        <w:br w:type="page"/>
      </w:r>
    </w:p>
    <w:p w:rsidR="00002B4E" w:rsidRPr="006179DE" w:rsidRDefault="00002B4E" w:rsidP="00942DA7">
      <w:pPr>
        <w:pStyle w:val="Nadpis1"/>
        <w:numPr>
          <w:ilvl w:val="0"/>
          <w:numId w:val="3"/>
        </w:numPr>
        <w:spacing w:before="0" w:after="0" w:line="360" w:lineRule="auto"/>
        <w:ind w:left="426" w:hanging="426"/>
        <w:rPr>
          <w:rFonts w:ascii="Calibri" w:hAnsi="Calibri" w:cs="Calibri"/>
          <w:sz w:val="20"/>
          <w:szCs w:val="20"/>
        </w:rPr>
      </w:pPr>
      <w:bookmarkStart w:id="2" w:name="_Toc27300951"/>
      <w:r w:rsidRPr="006179DE">
        <w:rPr>
          <w:rFonts w:ascii="Calibri" w:hAnsi="Calibri" w:cs="Calibri"/>
          <w:sz w:val="20"/>
          <w:szCs w:val="20"/>
        </w:rPr>
        <w:lastRenderedPageBreak/>
        <w:t>POPIS ÚZEMÍ STAVBY</w:t>
      </w:r>
      <w:bookmarkEnd w:id="2"/>
    </w:p>
    <w:p w:rsidR="00002B4E" w:rsidRPr="006179DE" w:rsidRDefault="00002B4E" w:rsidP="00942DA7">
      <w:pPr>
        <w:pStyle w:val="Nadpis1"/>
        <w:numPr>
          <w:ilvl w:val="2"/>
          <w:numId w:val="2"/>
        </w:numPr>
        <w:spacing w:before="0" w:after="0" w:line="360" w:lineRule="auto"/>
        <w:ind w:left="567" w:hanging="284"/>
        <w:rPr>
          <w:rFonts w:ascii="Calibri" w:hAnsi="Calibri"/>
          <w:color w:val="7F7F7F"/>
          <w:sz w:val="20"/>
          <w:szCs w:val="20"/>
        </w:rPr>
      </w:pPr>
      <w:bookmarkStart w:id="3" w:name="_Toc27300952"/>
      <w:r w:rsidRPr="006179DE">
        <w:rPr>
          <w:rFonts w:ascii="Calibri" w:hAnsi="Calibri"/>
          <w:color w:val="7F7F7F"/>
          <w:sz w:val="20"/>
          <w:szCs w:val="20"/>
        </w:rPr>
        <w:t xml:space="preserve">Charakteristika </w:t>
      </w:r>
      <w:r w:rsidR="008E596F">
        <w:rPr>
          <w:rFonts w:ascii="Calibri" w:hAnsi="Calibri"/>
          <w:color w:val="7F7F7F"/>
          <w:sz w:val="20"/>
          <w:szCs w:val="20"/>
        </w:rPr>
        <w:t xml:space="preserve">území a </w:t>
      </w:r>
      <w:r w:rsidRPr="006179DE">
        <w:rPr>
          <w:rFonts w:ascii="Calibri" w:hAnsi="Calibri"/>
          <w:color w:val="7F7F7F"/>
          <w:sz w:val="20"/>
          <w:szCs w:val="20"/>
        </w:rPr>
        <w:t>stavebního pozemku</w:t>
      </w:r>
      <w:bookmarkEnd w:id="3"/>
    </w:p>
    <w:p w:rsidR="00002B4E" w:rsidRDefault="00CD1883" w:rsidP="00942DA7">
      <w:pPr>
        <w:spacing w:line="360" w:lineRule="auto"/>
        <w:jc w:val="both"/>
        <w:rPr>
          <w:rFonts w:ascii="Calibri" w:hAnsi="Calibri" w:cs="Calibri"/>
        </w:rPr>
      </w:pPr>
      <w:r>
        <w:rPr>
          <w:rFonts w:ascii="Calibri" w:hAnsi="Calibri" w:cs="Calibri"/>
        </w:rPr>
        <w:t xml:space="preserve">Řešené území se nachází v ulici Pod Strážištěm. Stavbou dojde k obnově stávající vozovky a chodníku. </w:t>
      </w:r>
    </w:p>
    <w:p w:rsidR="00CD1883" w:rsidRDefault="002949EE" w:rsidP="00CD1883">
      <w:pPr>
        <w:spacing w:line="360" w:lineRule="auto"/>
        <w:jc w:val="center"/>
        <w:rPr>
          <w:rFonts w:ascii="Calibri" w:hAnsi="Calibri" w:cs="Calibri"/>
        </w:rPr>
      </w:pPr>
      <w:r>
        <w:rPr>
          <w:rFonts w:ascii="Calibri" w:hAnsi="Calibri" w:cs="Calibr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7pt;height:226.5pt">
            <v:imagedata r:id="rId7" o:title="malá"/>
          </v:shape>
        </w:pict>
      </w:r>
    </w:p>
    <w:p w:rsidR="00CD1883" w:rsidRPr="00203BCA" w:rsidRDefault="00CD1883" w:rsidP="00942DA7">
      <w:pPr>
        <w:spacing w:line="360" w:lineRule="auto"/>
        <w:jc w:val="both"/>
        <w:rPr>
          <w:rFonts w:ascii="Calibri" w:hAnsi="Calibri" w:cs="Calibri"/>
        </w:rPr>
      </w:pPr>
    </w:p>
    <w:p w:rsidR="00CD1883" w:rsidRPr="00CD1883" w:rsidRDefault="008E596F" w:rsidP="00CD1883">
      <w:pPr>
        <w:pStyle w:val="Nadpis1"/>
        <w:numPr>
          <w:ilvl w:val="2"/>
          <w:numId w:val="2"/>
        </w:numPr>
        <w:spacing w:before="0" w:after="0" w:line="360" w:lineRule="auto"/>
        <w:ind w:left="567" w:hanging="284"/>
        <w:rPr>
          <w:rFonts w:ascii="Calibri" w:hAnsi="Calibri"/>
          <w:color w:val="7F7F7F"/>
          <w:sz w:val="20"/>
          <w:szCs w:val="20"/>
        </w:rPr>
      </w:pPr>
      <w:bookmarkStart w:id="4" w:name="_Toc27300953"/>
      <w:r>
        <w:rPr>
          <w:rFonts w:ascii="Calibri" w:hAnsi="Calibri"/>
          <w:color w:val="7F7F7F"/>
          <w:sz w:val="20"/>
          <w:szCs w:val="20"/>
        </w:rPr>
        <w:t>Údaje o souladu s územně plánovací dokumentací, cíli a úkoly územního plánování</w:t>
      </w:r>
      <w:bookmarkEnd w:id="4"/>
    </w:p>
    <w:p w:rsidR="00876E56" w:rsidRDefault="00CD1883" w:rsidP="00CD1883">
      <w:pPr>
        <w:spacing w:line="360" w:lineRule="auto"/>
        <w:jc w:val="both"/>
        <w:rPr>
          <w:rFonts w:asciiTheme="minorHAnsi" w:hAnsiTheme="minorHAnsi" w:cstheme="minorHAnsi"/>
        </w:rPr>
      </w:pPr>
      <w:r>
        <w:rPr>
          <w:rFonts w:asciiTheme="minorHAnsi" w:hAnsiTheme="minorHAnsi" w:cstheme="minorHAnsi"/>
        </w:rPr>
        <w:t>Jedná se o prostou obnovu bez zásahů do nových okolních ploch. Stavba je v souladu s ÚP Chomutov.</w:t>
      </w:r>
    </w:p>
    <w:p w:rsidR="00CD1883" w:rsidRPr="00CD1883" w:rsidRDefault="00CD1883" w:rsidP="00CD1883">
      <w:pPr>
        <w:spacing w:line="360" w:lineRule="auto"/>
        <w:jc w:val="both"/>
        <w:rPr>
          <w:rFonts w:asciiTheme="minorHAnsi" w:hAnsiTheme="minorHAnsi" w:cstheme="minorHAnsi"/>
        </w:rPr>
      </w:pPr>
    </w:p>
    <w:p w:rsidR="008E596F" w:rsidRDefault="008E596F" w:rsidP="00942DA7">
      <w:pPr>
        <w:pStyle w:val="Nadpis1"/>
        <w:numPr>
          <w:ilvl w:val="2"/>
          <w:numId w:val="2"/>
        </w:numPr>
        <w:spacing w:before="0" w:after="0" w:line="360" w:lineRule="auto"/>
        <w:ind w:left="567" w:hanging="284"/>
        <w:rPr>
          <w:rFonts w:ascii="Calibri" w:hAnsi="Calibri"/>
          <w:color w:val="7F7F7F"/>
          <w:sz w:val="20"/>
          <w:szCs w:val="20"/>
        </w:rPr>
      </w:pPr>
      <w:bookmarkStart w:id="5" w:name="_Toc27300954"/>
      <w:r>
        <w:rPr>
          <w:rFonts w:ascii="Calibri" w:hAnsi="Calibri"/>
          <w:color w:val="7F7F7F"/>
          <w:sz w:val="20"/>
          <w:szCs w:val="20"/>
        </w:rPr>
        <w:t>Geologická, geomorfologická a hydrogeologická charakteristika, včetně zdrojů nerostů a podzemních vod</w:t>
      </w:r>
      <w:bookmarkEnd w:id="5"/>
    </w:p>
    <w:p w:rsidR="008E596F" w:rsidRDefault="00E5516B" w:rsidP="00942DA7">
      <w:pPr>
        <w:spacing w:line="360" w:lineRule="auto"/>
        <w:rPr>
          <w:rFonts w:ascii="Calibri" w:hAnsi="Calibri"/>
        </w:rPr>
      </w:pPr>
      <w:r w:rsidRPr="00E5516B">
        <w:rPr>
          <w:rFonts w:ascii="Calibri" w:hAnsi="Calibri"/>
        </w:rPr>
        <w:t>Zájmové území náleží do</w:t>
      </w:r>
      <w:r w:rsidR="0004018F">
        <w:rPr>
          <w:rFonts w:ascii="Calibri" w:hAnsi="Calibri"/>
        </w:rPr>
        <w:t xml:space="preserve"> regionu podkrušnohorské pánve a přilehlé vulkanické hornatiny, </w:t>
      </w:r>
      <w:r w:rsidRPr="00E5516B">
        <w:rPr>
          <w:rFonts w:ascii="Calibri" w:hAnsi="Calibri"/>
        </w:rPr>
        <w:t>geologick</w:t>
      </w:r>
      <w:r w:rsidR="0004018F">
        <w:rPr>
          <w:rFonts w:ascii="Calibri" w:hAnsi="Calibri"/>
        </w:rPr>
        <w:t>á</w:t>
      </w:r>
      <w:r w:rsidRPr="00E5516B">
        <w:rPr>
          <w:rFonts w:ascii="Calibri" w:hAnsi="Calibri"/>
        </w:rPr>
        <w:t xml:space="preserve"> jednotk</w:t>
      </w:r>
      <w:r w:rsidR="0004018F">
        <w:rPr>
          <w:rFonts w:ascii="Calibri" w:hAnsi="Calibri"/>
        </w:rPr>
        <w:t>a</w:t>
      </w:r>
      <w:r w:rsidRPr="00E5516B">
        <w:rPr>
          <w:rFonts w:ascii="Calibri" w:hAnsi="Calibri"/>
        </w:rPr>
        <w:t xml:space="preserve"> </w:t>
      </w:r>
      <w:r w:rsidR="0004018F">
        <w:rPr>
          <w:rFonts w:ascii="Calibri" w:hAnsi="Calibri"/>
        </w:rPr>
        <w:t>Mostecká pánev</w:t>
      </w:r>
      <w:r w:rsidRPr="00E5516B">
        <w:rPr>
          <w:rFonts w:ascii="Calibri" w:hAnsi="Calibri"/>
        </w:rPr>
        <w:t>.</w:t>
      </w:r>
    </w:p>
    <w:p w:rsidR="00876E56" w:rsidRDefault="00876E56" w:rsidP="00942DA7">
      <w:pPr>
        <w:spacing w:line="360" w:lineRule="auto"/>
        <w:rPr>
          <w:rFonts w:ascii="Calibri" w:hAnsi="Calibri" w:cs="Calibri"/>
        </w:rPr>
      </w:pPr>
    </w:p>
    <w:p w:rsidR="00002B4E" w:rsidRPr="006179DE" w:rsidRDefault="00002B4E" w:rsidP="00942DA7">
      <w:pPr>
        <w:pStyle w:val="Nadpis1"/>
        <w:numPr>
          <w:ilvl w:val="2"/>
          <w:numId w:val="2"/>
        </w:numPr>
        <w:spacing w:before="0" w:after="0" w:line="360" w:lineRule="auto"/>
        <w:ind w:left="567" w:hanging="284"/>
        <w:rPr>
          <w:rFonts w:ascii="Calibri" w:hAnsi="Calibri"/>
          <w:color w:val="7F7F7F"/>
          <w:sz w:val="20"/>
          <w:szCs w:val="20"/>
        </w:rPr>
      </w:pPr>
      <w:bookmarkStart w:id="6" w:name="_Toc27300955"/>
      <w:r w:rsidRPr="006179DE">
        <w:rPr>
          <w:rFonts w:ascii="Calibri" w:hAnsi="Calibri"/>
          <w:color w:val="7F7F7F"/>
          <w:sz w:val="20"/>
          <w:szCs w:val="20"/>
        </w:rPr>
        <w:t>Výčet a závěry provedených průzkumů a rozborů (geologický průzkum, hydrogeologický průzkum, stavebně historický průzkum apod.)</w:t>
      </w:r>
      <w:bookmarkEnd w:id="6"/>
    </w:p>
    <w:p w:rsidR="00393A68" w:rsidRDefault="00CD1883" w:rsidP="00393A68">
      <w:pPr>
        <w:pStyle w:val="cc"/>
        <w:spacing w:before="0" w:beforeAutospacing="0" w:after="0" w:afterAutospacing="0" w:line="360" w:lineRule="auto"/>
        <w:jc w:val="both"/>
        <w:rPr>
          <w:rFonts w:ascii="Calibri" w:hAnsi="Calibri" w:cs="Tahoma"/>
          <w:sz w:val="20"/>
          <w:szCs w:val="20"/>
        </w:rPr>
      </w:pPr>
      <w:r>
        <w:rPr>
          <w:rFonts w:ascii="Calibri" w:hAnsi="Calibri" w:cs="Tahoma"/>
          <w:sz w:val="20"/>
          <w:szCs w:val="20"/>
        </w:rPr>
        <w:t>V místě stavby byly provedeny vrty, rozbory podloží, měření únosnosti jednotlivých vrstev vozovky metodou FWD. Asfaltové souvrství bylo rovněž posouzeno z hlediska obsahu nebezpečných uhlovodíků – PAU.</w:t>
      </w:r>
    </w:p>
    <w:p w:rsidR="00CD1883" w:rsidRDefault="00CD1883" w:rsidP="00393A68">
      <w:pPr>
        <w:pStyle w:val="cc"/>
        <w:spacing w:before="0" w:beforeAutospacing="0" w:after="0" w:afterAutospacing="0" w:line="360" w:lineRule="auto"/>
        <w:jc w:val="both"/>
        <w:rPr>
          <w:rFonts w:ascii="Calibri" w:hAnsi="Calibri" w:cs="Tahoma"/>
          <w:sz w:val="20"/>
          <w:szCs w:val="20"/>
        </w:rPr>
      </w:pPr>
      <w:r>
        <w:rPr>
          <w:rFonts w:ascii="Calibri" w:hAnsi="Calibri" w:cs="Tahoma"/>
          <w:sz w:val="20"/>
          <w:szCs w:val="20"/>
        </w:rPr>
        <w:t>Obsahy uhlovodíků vyšly velice dobře, dle vyhlášky š. 130/2019 Sb. Vyfrézované asfalty nejsou odpadem a lze je bezpečně recyklovat.</w:t>
      </w:r>
    </w:p>
    <w:p w:rsidR="00BA5305" w:rsidRDefault="00BF338D" w:rsidP="00393A68">
      <w:pPr>
        <w:pStyle w:val="cc"/>
        <w:spacing w:before="0" w:beforeAutospacing="0" w:after="0" w:afterAutospacing="0" w:line="360" w:lineRule="auto"/>
        <w:jc w:val="both"/>
        <w:rPr>
          <w:rFonts w:ascii="Calibri" w:hAnsi="Calibri" w:cs="Tahoma"/>
          <w:sz w:val="20"/>
          <w:szCs w:val="20"/>
        </w:rPr>
      </w:pPr>
      <w:r>
        <w:rPr>
          <w:rFonts w:ascii="Calibri" w:hAnsi="Calibri" w:cs="Tahoma"/>
          <w:sz w:val="20"/>
          <w:szCs w:val="20"/>
        </w:rPr>
        <w:t xml:space="preserve">Diagnostická laboratoř ve své zprávě doporučuje dvě varianty opravy vozovky. Investor zvolil Variantu č. 1. Ve zkratce se jedná o frézování 120mm asfaltů, výsprava trhlin v ploše 50%, dle zásad TP 115. </w:t>
      </w:r>
    </w:p>
    <w:p w:rsidR="00CD1883" w:rsidRDefault="00CD1883" w:rsidP="00393A68">
      <w:pPr>
        <w:pStyle w:val="cc"/>
        <w:spacing w:before="0" w:beforeAutospacing="0" w:after="0" w:afterAutospacing="0" w:line="360" w:lineRule="auto"/>
        <w:jc w:val="both"/>
        <w:rPr>
          <w:rFonts w:ascii="Calibri" w:hAnsi="Calibri" w:cs="Tahoma"/>
          <w:sz w:val="20"/>
          <w:szCs w:val="20"/>
        </w:rPr>
      </w:pPr>
      <w:r>
        <w:rPr>
          <w:rFonts w:ascii="Calibri" w:hAnsi="Calibri" w:cs="Tahoma"/>
          <w:sz w:val="20"/>
          <w:szCs w:val="20"/>
        </w:rPr>
        <w:t xml:space="preserve">Detailní přehled a závěry jsou součástí Dokladové části. </w:t>
      </w:r>
    </w:p>
    <w:p w:rsidR="00F43691" w:rsidRPr="00F43691" w:rsidRDefault="00F43691" w:rsidP="00393A68">
      <w:pPr>
        <w:pStyle w:val="cc"/>
        <w:spacing w:before="0" w:beforeAutospacing="0" w:after="0" w:afterAutospacing="0" w:line="360" w:lineRule="auto"/>
        <w:jc w:val="both"/>
        <w:rPr>
          <w:rFonts w:ascii="Calibri" w:hAnsi="Calibri" w:cs="Tahoma"/>
          <w:sz w:val="20"/>
          <w:szCs w:val="20"/>
        </w:rPr>
      </w:pPr>
    </w:p>
    <w:p w:rsidR="00002B4E" w:rsidRPr="000D2C4E" w:rsidRDefault="00E5516B" w:rsidP="00942DA7">
      <w:pPr>
        <w:spacing w:line="360" w:lineRule="auto"/>
        <w:jc w:val="both"/>
        <w:rPr>
          <w:rFonts w:ascii="Calibri" w:hAnsi="Calibri"/>
        </w:rPr>
      </w:pPr>
      <w:r w:rsidRPr="00E5516B">
        <w:rPr>
          <w:rFonts w:ascii="Calibri" w:hAnsi="Calibri"/>
        </w:rPr>
        <w:t xml:space="preserve">  </w:t>
      </w:r>
    </w:p>
    <w:p w:rsidR="00002B4E" w:rsidRPr="006179DE" w:rsidRDefault="008E596F" w:rsidP="00942DA7">
      <w:pPr>
        <w:pStyle w:val="Nadpis1"/>
        <w:numPr>
          <w:ilvl w:val="2"/>
          <w:numId w:val="2"/>
        </w:numPr>
        <w:spacing w:before="0" w:after="0" w:line="360" w:lineRule="auto"/>
        <w:ind w:left="567" w:hanging="284"/>
        <w:rPr>
          <w:rFonts w:ascii="Calibri" w:hAnsi="Calibri"/>
          <w:color w:val="7F7F7F"/>
          <w:sz w:val="20"/>
          <w:szCs w:val="20"/>
        </w:rPr>
      </w:pPr>
      <w:bookmarkStart w:id="7" w:name="_Toc27300956"/>
      <w:r>
        <w:rPr>
          <w:rFonts w:ascii="Calibri" w:hAnsi="Calibri"/>
          <w:color w:val="7F7F7F"/>
          <w:sz w:val="20"/>
          <w:szCs w:val="20"/>
        </w:rPr>
        <w:lastRenderedPageBreak/>
        <w:t>Ochrana území podle jiných právních předpisů</w:t>
      </w:r>
      <w:bookmarkEnd w:id="7"/>
    </w:p>
    <w:p w:rsidR="00E41CD0" w:rsidRDefault="00E5516B" w:rsidP="00E5516B">
      <w:pPr>
        <w:spacing w:line="360" w:lineRule="auto"/>
        <w:jc w:val="both"/>
        <w:rPr>
          <w:rFonts w:ascii="Calibri" w:hAnsi="Calibri" w:cs="Calibri"/>
        </w:rPr>
      </w:pPr>
      <w:r w:rsidRPr="00E5516B">
        <w:rPr>
          <w:rFonts w:ascii="Calibri" w:hAnsi="Calibri" w:cs="Calibri"/>
        </w:rPr>
        <w:t xml:space="preserve">Dotčené území se nenachází v žádném vyhlášeném ochranném pásmu kulturních památek a chráněných území. Místo stavby se nenachází v záplavovém území. Z hlediska zákona č. 114/92 Sb. o ochraně přírody a krajiny není území posuzované stavby předmětem plošné ochrany. </w:t>
      </w:r>
    </w:p>
    <w:p w:rsidR="00F5050E" w:rsidRDefault="00F5050E" w:rsidP="00F5050E">
      <w:pPr>
        <w:spacing w:line="360" w:lineRule="auto"/>
        <w:jc w:val="both"/>
        <w:rPr>
          <w:rFonts w:asciiTheme="minorHAnsi" w:hAnsiTheme="minorHAnsi"/>
        </w:rPr>
      </w:pPr>
      <w:r w:rsidRPr="000D2C4E">
        <w:rPr>
          <w:rFonts w:asciiTheme="minorHAnsi" w:hAnsiTheme="minorHAnsi"/>
        </w:rPr>
        <w:t xml:space="preserve">V dané lokalitě </w:t>
      </w:r>
      <w:r w:rsidRPr="006B6E93">
        <w:rPr>
          <w:rFonts w:asciiTheme="minorHAnsi" w:hAnsiTheme="minorHAnsi"/>
        </w:rPr>
        <w:t xml:space="preserve">se nacházejí </w:t>
      </w:r>
      <w:r w:rsidRPr="000D2C4E">
        <w:rPr>
          <w:rFonts w:asciiTheme="minorHAnsi" w:hAnsiTheme="minorHAnsi"/>
        </w:rPr>
        <w:t xml:space="preserve">stávající podzemní inženýrské sítě, které mají svá ochranná pásma. Tato ochranná pásma jsou respektována. </w:t>
      </w:r>
    </w:p>
    <w:p w:rsidR="00F5050E" w:rsidRPr="00246DB9" w:rsidRDefault="00F5050E" w:rsidP="00F5050E">
      <w:pPr>
        <w:spacing w:line="360" w:lineRule="auto"/>
        <w:jc w:val="both"/>
        <w:rPr>
          <w:rFonts w:asciiTheme="minorHAnsi" w:hAnsiTheme="minorHAnsi"/>
        </w:rPr>
      </w:pPr>
      <w:r w:rsidRPr="00246DB9">
        <w:rPr>
          <w:rFonts w:asciiTheme="minorHAnsi" w:hAnsiTheme="minorHAnsi"/>
        </w:rPr>
        <w:t>V místě stavby se nacházejí tyto stávající inženýrské sítě:</w:t>
      </w:r>
    </w:p>
    <w:p w:rsidR="00F5050E" w:rsidRDefault="00F5050E" w:rsidP="00F5050E">
      <w:pPr>
        <w:pStyle w:val="Odstavecseseznamem"/>
        <w:numPr>
          <w:ilvl w:val="0"/>
          <w:numId w:val="13"/>
        </w:numPr>
        <w:spacing w:line="360" w:lineRule="auto"/>
        <w:jc w:val="both"/>
        <w:rPr>
          <w:rFonts w:asciiTheme="minorHAnsi" w:hAnsiTheme="minorHAnsi"/>
        </w:rPr>
      </w:pPr>
      <w:r>
        <w:rPr>
          <w:rFonts w:asciiTheme="minorHAnsi" w:hAnsiTheme="minorHAnsi"/>
        </w:rPr>
        <w:t>p</w:t>
      </w:r>
      <w:r w:rsidRPr="00B26C08">
        <w:rPr>
          <w:rFonts w:asciiTheme="minorHAnsi" w:hAnsiTheme="minorHAnsi"/>
        </w:rPr>
        <w:t xml:space="preserve">odzemní vedení NN </w:t>
      </w:r>
      <w:r w:rsidR="007513A8">
        <w:rPr>
          <w:rFonts w:asciiTheme="minorHAnsi" w:hAnsiTheme="minorHAnsi"/>
        </w:rPr>
        <w:t xml:space="preserve">a VN </w:t>
      </w:r>
      <w:r w:rsidRPr="00B26C08">
        <w:rPr>
          <w:rFonts w:asciiTheme="minorHAnsi" w:hAnsiTheme="minorHAnsi"/>
        </w:rPr>
        <w:t>ve správě ČEZ</w:t>
      </w:r>
    </w:p>
    <w:p w:rsidR="0082703A" w:rsidRDefault="0082703A" w:rsidP="00F5050E">
      <w:pPr>
        <w:pStyle w:val="Odstavecseseznamem"/>
        <w:numPr>
          <w:ilvl w:val="0"/>
          <w:numId w:val="13"/>
        </w:numPr>
        <w:spacing w:line="360" w:lineRule="auto"/>
        <w:jc w:val="both"/>
        <w:rPr>
          <w:rFonts w:asciiTheme="minorHAnsi" w:hAnsiTheme="minorHAnsi"/>
        </w:rPr>
      </w:pPr>
      <w:r>
        <w:rPr>
          <w:rFonts w:asciiTheme="minorHAnsi" w:hAnsiTheme="minorHAnsi"/>
        </w:rPr>
        <w:t>nadzemní VN ve správě ČEZ</w:t>
      </w:r>
    </w:p>
    <w:p w:rsidR="0082703A" w:rsidRDefault="0082703A" w:rsidP="00F5050E">
      <w:pPr>
        <w:pStyle w:val="Odstavecseseznamem"/>
        <w:numPr>
          <w:ilvl w:val="0"/>
          <w:numId w:val="13"/>
        </w:numPr>
        <w:spacing w:line="360" w:lineRule="auto"/>
        <w:jc w:val="both"/>
        <w:rPr>
          <w:rFonts w:asciiTheme="minorHAnsi" w:hAnsiTheme="minorHAnsi"/>
        </w:rPr>
      </w:pPr>
      <w:r>
        <w:rPr>
          <w:rFonts w:asciiTheme="minorHAnsi" w:hAnsiTheme="minorHAnsi"/>
        </w:rPr>
        <w:t>podzemní sdělovací vedení TELCO PRO</w:t>
      </w:r>
    </w:p>
    <w:p w:rsidR="00F5050E" w:rsidRDefault="00F5050E" w:rsidP="00F5050E">
      <w:pPr>
        <w:pStyle w:val="Odstavecseseznamem"/>
        <w:numPr>
          <w:ilvl w:val="0"/>
          <w:numId w:val="13"/>
        </w:numPr>
        <w:spacing w:line="360" w:lineRule="auto"/>
        <w:jc w:val="both"/>
        <w:rPr>
          <w:rFonts w:asciiTheme="minorHAnsi" w:hAnsiTheme="minorHAnsi"/>
        </w:rPr>
      </w:pPr>
      <w:r w:rsidRPr="00F71DD0">
        <w:rPr>
          <w:rFonts w:asciiTheme="minorHAnsi" w:hAnsiTheme="minorHAnsi"/>
        </w:rPr>
        <w:t xml:space="preserve">Podzemní sdělovací vedení ve správě </w:t>
      </w:r>
      <w:proofErr w:type="spellStart"/>
      <w:r w:rsidRPr="00F71DD0">
        <w:rPr>
          <w:rFonts w:asciiTheme="minorHAnsi" w:hAnsiTheme="minorHAnsi"/>
        </w:rPr>
        <w:t>Cetin</w:t>
      </w:r>
      <w:proofErr w:type="spellEnd"/>
      <w:r>
        <w:rPr>
          <w:rFonts w:asciiTheme="minorHAnsi" w:hAnsiTheme="minorHAnsi"/>
        </w:rPr>
        <w:t xml:space="preserve"> </w:t>
      </w:r>
    </w:p>
    <w:p w:rsidR="0082703A" w:rsidRDefault="0082703A" w:rsidP="00F5050E">
      <w:pPr>
        <w:pStyle w:val="Odstavecseseznamem"/>
        <w:numPr>
          <w:ilvl w:val="0"/>
          <w:numId w:val="13"/>
        </w:numPr>
        <w:spacing w:line="360" w:lineRule="auto"/>
        <w:jc w:val="both"/>
        <w:rPr>
          <w:rFonts w:asciiTheme="minorHAnsi" w:hAnsiTheme="minorHAnsi"/>
        </w:rPr>
      </w:pPr>
      <w:r>
        <w:rPr>
          <w:rFonts w:asciiTheme="minorHAnsi" w:hAnsiTheme="minorHAnsi"/>
        </w:rPr>
        <w:t>Podzemní sdělovací vedení Vodafone</w:t>
      </w:r>
    </w:p>
    <w:p w:rsidR="009E2ED1" w:rsidRDefault="009E2ED1" w:rsidP="00F5050E">
      <w:pPr>
        <w:pStyle w:val="Odstavecseseznamem"/>
        <w:numPr>
          <w:ilvl w:val="0"/>
          <w:numId w:val="13"/>
        </w:numPr>
        <w:spacing w:line="360" w:lineRule="auto"/>
        <w:jc w:val="both"/>
        <w:rPr>
          <w:rFonts w:asciiTheme="minorHAnsi" w:hAnsiTheme="minorHAnsi"/>
        </w:rPr>
      </w:pPr>
      <w:r>
        <w:rPr>
          <w:rFonts w:asciiTheme="minorHAnsi" w:hAnsiTheme="minorHAnsi"/>
        </w:rPr>
        <w:t>Podzemní kanalizace jednotná ve správě SČVK</w:t>
      </w:r>
    </w:p>
    <w:p w:rsidR="009E2ED1" w:rsidRDefault="009E2ED1" w:rsidP="009E2ED1">
      <w:pPr>
        <w:pStyle w:val="Odstavecseseznamem"/>
        <w:numPr>
          <w:ilvl w:val="0"/>
          <w:numId w:val="13"/>
        </w:numPr>
        <w:spacing w:line="360" w:lineRule="auto"/>
        <w:jc w:val="both"/>
        <w:rPr>
          <w:rFonts w:asciiTheme="minorHAnsi" w:hAnsiTheme="minorHAnsi"/>
        </w:rPr>
      </w:pPr>
      <w:r>
        <w:rPr>
          <w:rFonts w:asciiTheme="minorHAnsi" w:hAnsiTheme="minorHAnsi"/>
        </w:rPr>
        <w:t>Podzemní kanalizace dešťová ve správě SČVK</w:t>
      </w:r>
    </w:p>
    <w:p w:rsidR="009E2ED1" w:rsidRPr="00F71DD0" w:rsidRDefault="009E2ED1" w:rsidP="009E2ED1">
      <w:pPr>
        <w:pStyle w:val="Odstavecseseznamem"/>
        <w:numPr>
          <w:ilvl w:val="0"/>
          <w:numId w:val="13"/>
        </w:numPr>
        <w:spacing w:line="360" w:lineRule="auto"/>
        <w:jc w:val="both"/>
        <w:rPr>
          <w:rFonts w:asciiTheme="minorHAnsi" w:hAnsiTheme="minorHAnsi"/>
        </w:rPr>
      </w:pPr>
      <w:r>
        <w:rPr>
          <w:rFonts w:asciiTheme="minorHAnsi" w:hAnsiTheme="minorHAnsi"/>
        </w:rPr>
        <w:t>Podzemní vodovod ve správě SČVK</w:t>
      </w:r>
    </w:p>
    <w:p w:rsidR="009E2ED1" w:rsidRPr="004535F3" w:rsidRDefault="009E2ED1" w:rsidP="004535F3">
      <w:pPr>
        <w:pStyle w:val="Odstavecseseznamem"/>
        <w:numPr>
          <w:ilvl w:val="0"/>
          <w:numId w:val="13"/>
        </w:numPr>
        <w:spacing w:line="360" w:lineRule="auto"/>
        <w:jc w:val="both"/>
        <w:rPr>
          <w:rFonts w:asciiTheme="minorHAnsi" w:hAnsiTheme="minorHAnsi"/>
        </w:rPr>
      </w:pPr>
      <w:r>
        <w:rPr>
          <w:rFonts w:asciiTheme="minorHAnsi" w:hAnsiTheme="minorHAnsi"/>
        </w:rPr>
        <w:t>Podzemní plynovod ve správě INNOGY</w:t>
      </w:r>
    </w:p>
    <w:p w:rsidR="00F5050E" w:rsidRPr="001A43E8" w:rsidRDefault="00F5050E" w:rsidP="00F5050E">
      <w:pPr>
        <w:pStyle w:val="Odstavecseseznamem"/>
        <w:numPr>
          <w:ilvl w:val="0"/>
          <w:numId w:val="13"/>
        </w:numPr>
        <w:spacing w:line="360" w:lineRule="auto"/>
        <w:jc w:val="both"/>
        <w:rPr>
          <w:rFonts w:asciiTheme="minorHAnsi" w:hAnsiTheme="minorHAnsi"/>
        </w:rPr>
      </w:pPr>
      <w:r w:rsidRPr="001A43E8">
        <w:rPr>
          <w:rFonts w:asciiTheme="minorHAnsi" w:hAnsiTheme="minorHAnsi"/>
        </w:rPr>
        <w:t>veřejné osvětlení ve správě Technické služby</w:t>
      </w:r>
      <w:r w:rsidR="0024706B">
        <w:rPr>
          <w:rFonts w:asciiTheme="minorHAnsi" w:hAnsiTheme="minorHAnsi"/>
        </w:rPr>
        <w:t xml:space="preserve"> města</w:t>
      </w:r>
      <w:r w:rsidRPr="001A43E8">
        <w:rPr>
          <w:rFonts w:asciiTheme="minorHAnsi" w:hAnsiTheme="minorHAnsi"/>
        </w:rPr>
        <w:t xml:space="preserve"> Chomutov</w:t>
      </w:r>
    </w:p>
    <w:p w:rsidR="00495DBF" w:rsidRDefault="00495DBF" w:rsidP="00495DBF">
      <w:pPr>
        <w:spacing w:line="360" w:lineRule="auto"/>
        <w:jc w:val="both"/>
        <w:rPr>
          <w:rFonts w:ascii="Calibri" w:hAnsi="Calibri"/>
        </w:rPr>
      </w:pPr>
      <w:r w:rsidRPr="00495DBF">
        <w:rPr>
          <w:rFonts w:ascii="Calibri" w:hAnsi="Calibri"/>
        </w:rPr>
        <w:t>Trasy sítí nebyly správci jednoznačně určeny a jsou ve výkresové dokumentaci zakresleny pouze orientačně</w:t>
      </w:r>
      <w:r w:rsidR="004D2D23">
        <w:rPr>
          <w:rFonts w:ascii="Calibri" w:hAnsi="Calibri"/>
        </w:rPr>
        <w:t xml:space="preserve">, před zahájením stavebních prací </w:t>
      </w:r>
      <w:r w:rsidR="004D2D23" w:rsidRPr="00034E46">
        <w:rPr>
          <w:rFonts w:ascii="Calibri" w:hAnsi="Calibri"/>
          <w:b/>
        </w:rPr>
        <w:t>musejí být sítě vytýčeny správcem</w:t>
      </w:r>
      <w:r w:rsidRPr="00495DBF">
        <w:rPr>
          <w:rFonts w:ascii="Calibri" w:hAnsi="Calibri"/>
        </w:rPr>
        <w:t xml:space="preserve">. </w:t>
      </w:r>
    </w:p>
    <w:p w:rsidR="00876E56" w:rsidRDefault="00876E56" w:rsidP="00495DBF">
      <w:pPr>
        <w:spacing w:line="360" w:lineRule="auto"/>
        <w:jc w:val="both"/>
        <w:rPr>
          <w:rFonts w:ascii="Calibri" w:hAnsi="Calibri"/>
        </w:rPr>
      </w:pPr>
    </w:p>
    <w:p w:rsidR="00002B4E" w:rsidRPr="006179DE" w:rsidRDefault="00002B4E" w:rsidP="00942DA7">
      <w:pPr>
        <w:pStyle w:val="Nadpis1"/>
        <w:numPr>
          <w:ilvl w:val="2"/>
          <w:numId w:val="2"/>
        </w:numPr>
        <w:spacing w:before="0" w:after="0" w:line="360" w:lineRule="auto"/>
        <w:ind w:left="567" w:hanging="284"/>
        <w:rPr>
          <w:rFonts w:ascii="Calibri" w:hAnsi="Calibri"/>
          <w:color w:val="7F7F7F"/>
          <w:sz w:val="20"/>
          <w:szCs w:val="20"/>
        </w:rPr>
      </w:pPr>
      <w:bookmarkStart w:id="8" w:name="_Toc27300957"/>
      <w:r w:rsidRPr="006179DE">
        <w:rPr>
          <w:rFonts w:ascii="Calibri" w:hAnsi="Calibri"/>
          <w:color w:val="7F7F7F"/>
          <w:sz w:val="20"/>
          <w:szCs w:val="20"/>
        </w:rPr>
        <w:t>Poloha vzhledem k záplavovému území, poddolovanému území apod.</w:t>
      </w:r>
      <w:bookmarkEnd w:id="8"/>
    </w:p>
    <w:p w:rsidR="00002B4E" w:rsidRDefault="00002B4E" w:rsidP="00942DA7">
      <w:pPr>
        <w:spacing w:line="360" w:lineRule="auto"/>
        <w:jc w:val="both"/>
        <w:rPr>
          <w:rFonts w:ascii="Calibri" w:hAnsi="Calibri"/>
        </w:rPr>
      </w:pPr>
      <w:r w:rsidRPr="00091ED3">
        <w:rPr>
          <w:rFonts w:ascii="Calibri" w:hAnsi="Calibri"/>
        </w:rPr>
        <w:t>Stavba se nenachází v záplavovém ani poddolovaném území.</w:t>
      </w:r>
    </w:p>
    <w:p w:rsidR="00876E56" w:rsidRDefault="00876E56" w:rsidP="00942DA7">
      <w:pPr>
        <w:spacing w:line="360" w:lineRule="auto"/>
        <w:jc w:val="both"/>
        <w:rPr>
          <w:rFonts w:ascii="Calibri" w:hAnsi="Calibri"/>
        </w:rPr>
      </w:pPr>
    </w:p>
    <w:p w:rsidR="00002B4E" w:rsidRPr="006179DE" w:rsidRDefault="00002B4E" w:rsidP="00942DA7">
      <w:pPr>
        <w:pStyle w:val="Nadpis1"/>
        <w:numPr>
          <w:ilvl w:val="2"/>
          <w:numId w:val="2"/>
        </w:numPr>
        <w:spacing w:before="0" w:after="0" w:line="360" w:lineRule="auto"/>
        <w:ind w:left="567" w:hanging="284"/>
        <w:rPr>
          <w:rFonts w:ascii="Calibri" w:hAnsi="Calibri"/>
          <w:color w:val="7F7F7F"/>
          <w:sz w:val="20"/>
          <w:szCs w:val="20"/>
        </w:rPr>
      </w:pPr>
      <w:bookmarkStart w:id="9" w:name="_Toc27300958"/>
      <w:r w:rsidRPr="006179DE">
        <w:rPr>
          <w:rFonts w:ascii="Calibri" w:hAnsi="Calibri"/>
          <w:color w:val="7F7F7F"/>
          <w:sz w:val="20"/>
          <w:szCs w:val="20"/>
        </w:rPr>
        <w:t>Vliv stavby na okolí stavby a pozemky, ochrana okolí, vliv stavby na odtokové poměry v území</w:t>
      </w:r>
      <w:bookmarkEnd w:id="9"/>
    </w:p>
    <w:p w:rsidR="00907468" w:rsidRDefault="004535F3" w:rsidP="00E5516B">
      <w:pPr>
        <w:spacing w:line="360" w:lineRule="auto"/>
        <w:jc w:val="both"/>
        <w:rPr>
          <w:rFonts w:asciiTheme="minorHAnsi" w:hAnsiTheme="minorHAnsi"/>
        </w:rPr>
      </w:pPr>
      <w:r>
        <w:rPr>
          <w:rFonts w:asciiTheme="minorHAnsi" w:hAnsiTheme="minorHAnsi"/>
        </w:rPr>
        <w:t>Jedná se o obnovu již existující infrastruktury.</w:t>
      </w:r>
    </w:p>
    <w:p w:rsidR="004535F3" w:rsidRDefault="004535F3" w:rsidP="00E5516B">
      <w:pPr>
        <w:spacing w:line="360" w:lineRule="auto"/>
        <w:jc w:val="both"/>
        <w:rPr>
          <w:rFonts w:ascii="Calibri" w:hAnsi="Calibri" w:cs="Calibri"/>
        </w:rPr>
      </w:pPr>
    </w:p>
    <w:p w:rsidR="00002B4E" w:rsidRPr="006179DE" w:rsidRDefault="00002B4E" w:rsidP="00942DA7">
      <w:pPr>
        <w:pStyle w:val="Nadpis1"/>
        <w:numPr>
          <w:ilvl w:val="2"/>
          <w:numId w:val="2"/>
        </w:numPr>
        <w:spacing w:before="0" w:after="0" w:line="360" w:lineRule="auto"/>
        <w:ind w:left="567" w:hanging="284"/>
        <w:rPr>
          <w:rFonts w:ascii="Calibri" w:hAnsi="Calibri"/>
          <w:color w:val="7F7F7F"/>
          <w:sz w:val="20"/>
          <w:szCs w:val="20"/>
        </w:rPr>
      </w:pPr>
      <w:bookmarkStart w:id="10" w:name="_Toc27300959"/>
      <w:r w:rsidRPr="006179DE">
        <w:rPr>
          <w:rFonts w:ascii="Calibri" w:hAnsi="Calibri"/>
          <w:color w:val="7F7F7F"/>
          <w:sz w:val="20"/>
          <w:szCs w:val="20"/>
        </w:rPr>
        <w:t>Požadavky na asanace, demolice, kácení dřevin</w:t>
      </w:r>
      <w:bookmarkEnd w:id="10"/>
    </w:p>
    <w:p w:rsidR="00E5516B" w:rsidRDefault="004535F3" w:rsidP="00942DA7">
      <w:pPr>
        <w:spacing w:line="360" w:lineRule="auto"/>
        <w:jc w:val="both"/>
        <w:rPr>
          <w:rFonts w:ascii="Calibri" w:hAnsi="Calibri"/>
        </w:rPr>
      </w:pPr>
      <w:r>
        <w:rPr>
          <w:rFonts w:ascii="Calibri" w:hAnsi="Calibri"/>
        </w:rPr>
        <w:t xml:space="preserve">Stávající zpevněné plochy, převážné živičné, budou vyfrézovány. Stávající kamenné krajníky budou odvezeny do dvora TSMCH. Požadavky na asanace a kácení dřevin nejsou potřeba. </w:t>
      </w:r>
    </w:p>
    <w:p w:rsidR="00907468" w:rsidRPr="00771F72" w:rsidRDefault="00907468" w:rsidP="00942DA7">
      <w:pPr>
        <w:spacing w:line="360" w:lineRule="auto"/>
        <w:jc w:val="both"/>
        <w:rPr>
          <w:rFonts w:ascii="Calibri" w:hAnsi="Calibri"/>
        </w:rPr>
      </w:pPr>
    </w:p>
    <w:p w:rsidR="00002B4E" w:rsidRPr="006179DE" w:rsidRDefault="00002B4E" w:rsidP="00942DA7">
      <w:pPr>
        <w:pStyle w:val="Nadpis1"/>
        <w:numPr>
          <w:ilvl w:val="2"/>
          <w:numId w:val="2"/>
        </w:numPr>
        <w:spacing w:before="0" w:after="0" w:line="360" w:lineRule="auto"/>
        <w:ind w:left="567" w:hanging="284"/>
        <w:rPr>
          <w:rFonts w:ascii="Calibri" w:hAnsi="Calibri"/>
          <w:color w:val="7F7F7F"/>
          <w:sz w:val="20"/>
          <w:szCs w:val="20"/>
        </w:rPr>
      </w:pPr>
      <w:bookmarkStart w:id="11" w:name="_Toc27300960"/>
      <w:r w:rsidRPr="006179DE">
        <w:rPr>
          <w:rFonts w:ascii="Calibri" w:hAnsi="Calibri"/>
          <w:color w:val="7F7F7F"/>
          <w:sz w:val="20"/>
          <w:szCs w:val="20"/>
        </w:rPr>
        <w:t>Požadavky na maximální zábory zemědělského půdního fondu nebo pozemků určených k plnění funkce lesa (dočasné / trvalé)</w:t>
      </w:r>
      <w:bookmarkEnd w:id="11"/>
    </w:p>
    <w:p w:rsidR="0056529C" w:rsidRPr="0056529C" w:rsidRDefault="0056529C" w:rsidP="0056529C">
      <w:pPr>
        <w:spacing w:line="360" w:lineRule="auto"/>
        <w:jc w:val="both"/>
        <w:rPr>
          <w:rFonts w:ascii="Calibri" w:hAnsi="Calibri"/>
        </w:rPr>
      </w:pPr>
      <w:r w:rsidRPr="0056529C">
        <w:rPr>
          <w:rFonts w:ascii="Calibri" w:hAnsi="Calibri"/>
        </w:rPr>
        <w:t xml:space="preserve">Stavbou </w:t>
      </w:r>
      <w:r w:rsidR="005F165A">
        <w:rPr>
          <w:rFonts w:ascii="Calibri" w:hAnsi="Calibri"/>
        </w:rPr>
        <w:t>nebud</w:t>
      </w:r>
      <w:r w:rsidRPr="0056529C">
        <w:rPr>
          <w:rFonts w:ascii="Calibri" w:hAnsi="Calibri"/>
        </w:rPr>
        <w:t>ou dotčeny pozemky zemědělského půdního fondu</w:t>
      </w:r>
      <w:r w:rsidR="005F165A">
        <w:rPr>
          <w:rFonts w:ascii="Calibri" w:hAnsi="Calibri"/>
        </w:rPr>
        <w:t>.</w:t>
      </w:r>
    </w:p>
    <w:p w:rsidR="0056529C" w:rsidRDefault="0056529C" w:rsidP="0056529C">
      <w:pPr>
        <w:pStyle w:val="cc"/>
        <w:spacing w:before="0" w:beforeAutospacing="0" w:after="0" w:afterAutospacing="0" w:line="360" w:lineRule="auto"/>
        <w:rPr>
          <w:rFonts w:ascii="Calibri" w:hAnsi="Calibri" w:cs="Tahoma"/>
          <w:sz w:val="20"/>
          <w:szCs w:val="20"/>
        </w:rPr>
      </w:pPr>
      <w:r w:rsidRPr="003F392E">
        <w:rPr>
          <w:rFonts w:ascii="Calibri" w:hAnsi="Calibri" w:cs="Tahoma"/>
          <w:sz w:val="20"/>
          <w:szCs w:val="20"/>
        </w:rPr>
        <w:t>Stavbou nebudou dotčeny pozemky určené k plnění funkce lesa.</w:t>
      </w:r>
    </w:p>
    <w:p w:rsidR="00E36B92" w:rsidRPr="003F392E" w:rsidRDefault="00E36B92" w:rsidP="0056529C">
      <w:pPr>
        <w:pStyle w:val="cc"/>
        <w:spacing w:before="0" w:beforeAutospacing="0" w:after="0" w:afterAutospacing="0" w:line="360" w:lineRule="auto"/>
        <w:rPr>
          <w:rFonts w:ascii="Calibri" w:hAnsi="Calibri" w:cs="Tahoma"/>
          <w:sz w:val="20"/>
          <w:szCs w:val="20"/>
        </w:rPr>
      </w:pPr>
    </w:p>
    <w:p w:rsidR="00002B4E" w:rsidRPr="006179DE" w:rsidRDefault="00002B4E" w:rsidP="00942DA7">
      <w:pPr>
        <w:pStyle w:val="Nadpis1"/>
        <w:numPr>
          <w:ilvl w:val="2"/>
          <w:numId w:val="2"/>
        </w:numPr>
        <w:spacing w:before="0" w:after="0" w:line="360" w:lineRule="auto"/>
        <w:ind w:left="567" w:hanging="284"/>
        <w:rPr>
          <w:rFonts w:ascii="Calibri" w:hAnsi="Calibri"/>
          <w:color w:val="7F7F7F"/>
          <w:sz w:val="20"/>
          <w:szCs w:val="20"/>
        </w:rPr>
      </w:pPr>
      <w:bookmarkStart w:id="12" w:name="_Toc27300961"/>
      <w:r w:rsidRPr="006179DE">
        <w:rPr>
          <w:rFonts w:ascii="Calibri" w:hAnsi="Calibri"/>
          <w:color w:val="7F7F7F"/>
          <w:sz w:val="20"/>
          <w:szCs w:val="20"/>
        </w:rPr>
        <w:lastRenderedPageBreak/>
        <w:t>Územně technické podmínky (zejména možnost napojení na stávající dopravní a technickou infrastrukturu)</w:t>
      </w:r>
      <w:bookmarkEnd w:id="12"/>
    </w:p>
    <w:p w:rsidR="00907468" w:rsidRDefault="006D5C75" w:rsidP="00942DA7">
      <w:pPr>
        <w:spacing w:line="360" w:lineRule="auto"/>
        <w:jc w:val="both"/>
        <w:rPr>
          <w:rFonts w:ascii="Calibri" w:hAnsi="Calibri"/>
        </w:rPr>
      </w:pPr>
      <w:r>
        <w:rPr>
          <w:rFonts w:ascii="Calibri" w:hAnsi="Calibri"/>
        </w:rPr>
        <w:t xml:space="preserve">Beze změny. Ulice Pod Strážiště je a bude napájena z ulic </w:t>
      </w:r>
      <w:proofErr w:type="spellStart"/>
      <w:r>
        <w:rPr>
          <w:rFonts w:ascii="Calibri" w:hAnsi="Calibri"/>
        </w:rPr>
        <w:t>Březenecká</w:t>
      </w:r>
      <w:proofErr w:type="spellEnd"/>
      <w:r>
        <w:rPr>
          <w:rFonts w:ascii="Calibri" w:hAnsi="Calibri"/>
        </w:rPr>
        <w:t xml:space="preserve"> a Blatenská. </w:t>
      </w:r>
    </w:p>
    <w:p w:rsidR="000A5D20" w:rsidRDefault="000A5D20" w:rsidP="00942DA7">
      <w:pPr>
        <w:pStyle w:val="Nadpis1"/>
        <w:numPr>
          <w:ilvl w:val="2"/>
          <w:numId w:val="2"/>
        </w:numPr>
        <w:spacing w:before="0" w:after="0" w:line="360" w:lineRule="auto"/>
        <w:ind w:left="567" w:hanging="284"/>
        <w:rPr>
          <w:rFonts w:ascii="Calibri" w:hAnsi="Calibri"/>
          <w:color w:val="7F7F7F"/>
          <w:sz w:val="20"/>
          <w:szCs w:val="20"/>
        </w:rPr>
      </w:pPr>
      <w:bookmarkStart w:id="13" w:name="_Toc27300962"/>
      <w:r>
        <w:rPr>
          <w:rFonts w:ascii="Calibri" w:hAnsi="Calibri"/>
          <w:color w:val="7F7F7F"/>
          <w:sz w:val="20"/>
          <w:szCs w:val="20"/>
        </w:rPr>
        <w:t>Věcné a časové vazby stavby, podmiňující, vyvolané, související investice</w:t>
      </w:r>
      <w:bookmarkEnd w:id="13"/>
    </w:p>
    <w:p w:rsidR="00DF22C1" w:rsidRDefault="005D02EE" w:rsidP="00DF22C1">
      <w:pPr>
        <w:spacing w:line="360" w:lineRule="auto"/>
        <w:jc w:val="both"/>
        <w:rPr>
          <w:rFonts w:asciiTheme="minorHAnsi" w:hAnsiTheme="minorHAnsi"/>
        </w:rPr>
      </w:pPr>
      <w:r>
        <w:rPr>
          <w:rFonts w:asciiTheme="minorHAnsi" w:hAnsiTheme="minorHAnsi"/>
        </w:rPr>
        <w:t xml:space="preserve">Rekonstrukce ulice navazuje na projekt „Obnova povrchu </w:t>
      </w:r>
      <w:r w:rsidR="00311AFB">
        <w:rPr>
          <w:rFonts w:asciiTheme="minorHAnsi" w:hAnsiTheme="minorHAnsi"/>
        </w:rPr>
        <w:t xml:space="preserve">vozovky v ulici </w:t>
      </w:r>
      <w:proofErr w:type="spellStart"/>
      <w:r w:rsidR="00311AFB">
        <w:rPr>
          <w:rFonts w:asciiTheme="minorHAnsi" w:hAnsiTheme="minorHAnsi"/>
        </w:rPr>
        <w:t>Březenecká</w:t>
      </w:r>
      <w:proofErr w:type="spellEnd"/>
      <w:r w:rsidR="00311AFB">
        <w:rPr>
          <w:rFonts w:asciiTheme="minorHAnsi" w:hAnsiTheme="minorHAnsi"/>
        </w:rPr>
        <w:t xml:space="preserve">“ 1Q </w:t>
      </w:r>
      <w:r>
        <w:rPr>
          <w:rFonts w:asciiTheme="minorHAnsi" w:hAnsiTheme="minorHAnsi"/>
        </w:rPr>
        <w:t xml:space="preserve">2020. </w:t>
      </w:r>
    </w:p>
    <w:p w:rsidR="00907468" w:rsidRPr="00DF22C1" w:rsidRDefault="00907468" w:rsidP="00DF22C1">
      <w:pPr>
        <w:spacing w:line="360" w:lineRule="auto"/>
        <w:jc w:val="both"/>
        <w:rPr>
          <w:rFonts w:asciiTheme="minorHAnsi" w:hAnsiTheme="minorHAnsi"/>
        </w:rPr>
      </w:pPr>
    </w:p>
    <w:p w:rsidR="00D9171E" w:rsidRPr="00744C56" w:rsidRDefault="00D9171E" w:rsidP="00942DA7">
      <w:pPr>
        <w:pStyle w:val="Nadpis1"/>
        <w:numPr>
          <w:ilvl w:val="2"/>
          <w:numId w:val="2"/>
        </w:numPr>
        <w:spacing w:before="0" w:after="0" w:line="360" w:lineRule="auto"/>
        <w:ind w:left="567" w:hanging="284"/>
        <w:rPr>
          <w:rFonts w:ascii="Calibri" w:hAnsi="Calibri"/>
          <w:sz w:val="20"/>
          <w:szCs w:val="20"/>
        </w:rPr>
      </w:pPr>
      <w:bookmarkStart w:id="14" w:name="_Toc27300963"/>
      <w:r w:rsidRPr="00744C56">
        <w:rPr>
          <w:rFonts w:ascii="Calibri" w:hAnsi="Calibri"/>
          <w:sz w:val="20"/>
          <w:szCs w:val="20"/>
        </w:rPr>
        <w:t>Seznam pozemků podle katastru nemovitosti, na kterých se stavba umisťuje a provádí</w:t>
      </w:r>
      <w:bookmarkEnd w:id="14"/>
    </w:p>
    <w:tbl>
      <w:tblPr>
        <w:tblW w:w="8360" w:type="dxa"/>
        <w:tblInd w:w="55" w:type="dxa"/>
        <w:tblCellMar>
          <w:left w:w="70" w:type="dxa"/>
          <w:right w:w="70" w:type="dxa"/>
        </w:tblCellMar>
        <w:tblLook w:val="04A0" w:firstRow="1" w:lastRow="0" w:firstColumn="1" w:lastColumn="0" w:noHBand="0" w:noVBand="1"/>
      </w:tblPr>
      <w:tblGrid>
        <w:gridCol w:w="1260"/>
        <w:gridCol w:w="3200"/>
        <w:gridCol w:w="1240"/>
        <w:gridCol w:w="2660"/>
      </w:tblGrid>
      <w:tr w:rsidR="00744C56" w:rsidRPr="00744C56" w:rsidTr="00744C56">
        <w:trPr>
          <w:trHeight w:val="315"/>
        </w:trPr>
        <w:tc>
          <w:tcPr>
            <w:tcW w:w="1260" w:type="dxa"/>
            <w:tcBorders>
              <w:top w:val="single" w:sz="8" w:space="0" w:color="auto"/>
              <w:left w:val="nil"/>
              <w:bottom w:val="single" w:sz="8" w:space="0" w:color="auto"/>
              <w:right w:val="nil"/>
            </w:tcBorders>
            <w:shd w:val="clear" w:color="auto" w:fill="auto"/>
            <w:noWrap/>
            <w:vAlign w:val="bottom"/>
            <w:hideMark/>
          </w:tcPr>
          <w:p w:rsidR="00744C56" w:rsidRPr="00744C56" w:rsidRDefault="00744C56" w:rsidP="00744C56">
            <w:pPr>
              <w:jc w:val="center"/>
              <w:rPr>
                <w:rFonts w:ascii="Calibri" w:hAnsi="Calibri" w:cs="Calibri"/>
                <w:b/>
                <w:bCs/>
                <w:color w:val="000000"/>
                <w:sz w:val="22"/>
                <w:szCs w:val="22"/>
              </w:rPr>
            </w:pPr>
            <w:r w:rsidRPr="00744C56">
              <w:rPr>
                <w:rFonts w:ascii="Calibri" w:hAnsi="Calibri" w:cs="Calibri"/>
                <w:b/>
                <w:bCs/>
                <w:color w:val="000000"/>
                <w:sz w:val="22"/>
                <w:szCs w:val="22"/>
              </w:rPr>
              <w:t>Číslo parcely</w:t>
            </w:r>
          </w:p>
        </w:tc>
        <w:tc>
          <w:tcPr>
            <w:tcW w:w="3200" w:type="dxa"/>
            <w:tcBorders>
              <w:top w:val="single" w:sz="8" w:space="0" w:color="auto"/>
              <w:left w:val="nil"/>
              <w:bottom w:val="single" w:sz="8" w:space="0" w:color="auto"/>
              <w:right w:val="nil"/>
            </w:tcBorders>
            <w:shd w:val="clear" w:color="auto" w:fill="auto"/>
            <w:noWrap/>
            <w:vAlign w:val="bottom"/>
            <w:hideMark/>
          </w:tcPr>
          <w:p w:rsidR="00744C56" w:rsidRPr="00744C56" w:rsidRDefault="00744C56" w:rsidP="00744C56">
            <w:pPr>
              <w:rPr>
                <w:rFonts w:ascii="Calibri" w:hAnsi="Calibri" w:cs="Calibri"/>
                <w:b/>
                <w:bCs/>
                <w:color w:val="000000"/>
                <w:sz w:val="22"/>
                <w:szCs w:val="22"/>
              </w:rPr>
            </w:pPr>
            <w:r w:rsidRPr="00744C56">
              <w:rPr>
                <w:rFonts w:ascii="Calibri" w:hAnsi="Calibri" w:cs="Calibri"/>
                <w:b/>
                <w:bCs/>
                <w:color w:val="000000"/>
                <w:sz w:val="22"/>
                <w:szCs w:val="22"/>
              </w:rPr>
              <w:t>Vlastnické právo</w:t>
            </w:r>
          </w:p>
        </w:tc>
        <w:tc>
          <w:tcPr>
            <w:tcW w:w="1240" w:type="dxa"/>
            <w:tcBorders>
              <w:top w:val="single" w:sz="8" w:space="0" w:color="auto"/>
              <w:left w:val="double" w:sz="6" w:space="0" w:color="auto"/>
              <w:bottom w:val="single" w:sz="8" w:space="0" w:color="auto"/>
              <w:right w:val="nil"/>
            </w:tcBorders>
            <w:shd w:val="clear" w:color="auto" w:fill="auto"/>
            <w:noWrap/>
            <w:vAlign w:val="bottom"/>
            <w:hideMark/>
          </w:tcPr>
          <w:p w:rsidR="00744C56" w:rsidRPr="00744C56" w:rsidRDefault="00744C56" w:rsidP="00744C56">
            <w:pPr>
              <w:jc w:val="center"/>
              <w:rPr>
                <w:rFonts w:ascii="Calibri" w:hAnsi="Calibri" w:cs="Calibri"/>
                <w:b/>
                <w:bCs/>
                <w:color w:val="000000"/>
                <w:sz w:val="22"/>
                <w:szCs w:val="22"/>
              </w:rPr>
            </w:pPr>
            <w:r w:rsidRPr="00744C56">
              <w:rPr>
                <w:rFonts w:ascii="Calibri" w:hAnsi="Calibri" w:cs="Calibri"/>
                <w:b/>
                <w:bCs/>
                <w:color w:val="000000"/>
                <w:sz w:val="22"/>
                <w:szCs w:val="22"/>
              </w:rPr>
              <w:t>Číslo parcely</w:t>
            </w:r>
          </w:p>
        </w:tc>
        <w:tc>
          <w:tcPr>
            <w:tcW w:w="2660" w:type="dxa"/>
            <w:tcBorders>
              <w:top w:val="single" w:sz="8" w:space="0" w:color="auto"/>
              <w:left w:val="nil"/>
              <w:bottom w:val="single" w:sz="8" w:space="0" w:color="auto"/>
              <w:right w:val="nil"/>
            </w:tcBorders>
            <w:shd w:val="clear" w:color="auto" w:fill="auto"/>
            <w:noWrap/>
            <w:vAlign w:val="bottom"/>
            <w:hideMark/>
          </w:tcPr>
          <w:p w:rsidR="00744C56" w:rsidRPr="00744C56" w:rsidRDefault="00744C56" w:rsidP="00744C56">
            <w:pPr>
              <w:rPr>
                <w:rFonts w:ascii="Calibri" w:hAnsi="Calibri" w:cs="Calibri"/>
                <w:b/>
                <w:bCs/>
                <w:color w:val="000000"/>
                <w:sz w:val="22"/>
                <w:szCs w:val="22"/>
              </w:rPr>
            </w:pPr>
            <w:r w:rsidRPr="00744C56">
              <w:rPr>
                <w:rFonts w:ascii="Calibri" w:hAnsi="Calibri" w:cs="Calibri"/>
                <w:b/>
                <w:bCs/>
                <w:color w:val="000000"/>
                <w:sz w:val="22"/>
                <w:szCs w:val="22"/>
              </w:rPr>
              <w:t>Vlastnické právo</w:t>
            </w:r>
          </w:p>
        </w:tc>
      </w:tr>
      <w:tr w:rsidR="00744C56" w:rsidRPr="00744C56" w:rsidTr="00744C56">
        <w:trPr>
          <w:trHeight w:val="315"/>
        </w:trPr>
        <w:tc>
          <w:tcPr>
            <w:tcW w:w="1260" w:type="dxa"/>
            <w:tcBorders>
              <w:top w:val="nil"/>
              <w:left w:val="nil"/>
              <w:bottom w:val="single" w:sz="8" w:space="0" w:color="auto"/>
              <w:right w:val="nil"/>
            </w:tcBorders>
            <w:shd w:val="clear" w:color="000000" w:fill="DAEEF3"/>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4860/1</w:t>
            </w:r>
          </w:p>
        </w:tc>
        <w:tc>
          <w:tcPr>
            <w:tcW w:w="3200" w:type="dxa"/>
            <w:tcBorders>
              <w:top w:val="nil"/>
              <w:left w:val="nil"/>
              <w:bottom w:val="single" w:sz="8" w:space="0" w:color="auto"/>
              <w:right w:val="nil"/>
            </w:tcBorders>
            <w:shd w:val="clear" w:color="000000" w:fill="DAEEF3"/>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Povodí Ohře, státní podnik</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4927/5</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FDDFC7"/>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4902/2</w:t>
            </w:r>
          </w:p>
        </w:tc>
        <w:tc>
          <w:tcPr>
            <w:tcW w:w="3200" w:type="dxa"/>
            <w:tcBorders>
              <w:top w:val="nil"/>
              <w:left w:val="nil"/>
              <w:bottom w:val="single" w:sz="8" w:space="0" w:color="auto"/>
              <w:right w:val="nil"/>
            </w:tcBorders>
            <w:shd w:val="clear" w:color="000000" w:fill="FDDFC7"/>
            <w:noWrap/>
            <w:vAlign w:val="bottom"/>
            <w:hideMark/>
          </w:tcPr>
          <w:p w:rsidR="00744C56" w:rsidRPr="00744C56" w:rsidRDefault="002949EE" w:rsidP="00744C56">
            <w:pPr>
              <w:rPr>
                <w:rFonts w:ascii="Calibri" w:hAnsi="Calibri" w:cs="Calibri"/>
                <w:color w:val="000000"/>
                <w:sz w:val="22"/>
                <w:szCs w:val="22"/>
              </w:rPr>
            </w:pPr>
            <w:r>
              <w:rPr>
                <w:rFonts w:ascii="Calibri" w:hAnsi="Calibri" w:cs="Calibri"/>
                <w:color w:val="000000"/>
                <w:sz w:val="22"/>
                <w:szCs w:val="22"/>
              </w:rPr>
              <w:t>LIDL ČR V.O.S.</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4914/3</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FDDFC7"/>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4901/24</w:t>
            </w:r>
          </w:p>
        </w:tc>
        <w:tc>
          <w:tcPr>
            <w:tcW w:w="3200" w:type="dxa"/>
            <w:tcBorders>
              <w:top w:val="nil"/>
              <w:left w:val="nil"/>
              <w:bottom w:val="single" w:sz="8" w:space="0" w:color="auto"/>
              <w:right w:val="nil"/>
            </w:tcBorders>
            <w:shd w:val="clear" w:color="000000" w:fill="FDDFC7"/>
            <w:noWrap/>
            <w:vAlign w:val="bottom"/>
            <w:hideMark/>
          </w:tcPr>
          <w:p w:rsidR="00744C56" w:rsidRPr="00744C56" w:rsidRDefault="002949EE" w:rsidP="00744C56">
            <w:pPr>
              <w:rPr>
                <w:rFonts w:ascii="Calibri" w:hAnsi="Calibri" w:cs="Calibri"/>
                <w:color w:val="000000"/>
                <w:sz w:val="22"/>
                <w:szCs w:val="22"/>
              </w:rPr>
            </w:pPr>
            <w:r>
              <w:rPr>
                <w:rFonts w:ascii="Calibri" w:hAnsi="Calibri" w:cs="Calibri"/>
                <w:color w:val="000000"/>
                <w:sz w:val="22"/>
                <w:szCs w:val="22"/>
              </w:rPr>
              <w:t>LIDL ČR V.O.S.</w:t>
            </w:r>
            <w:bookmarkStart w:id="15" w:name="_GoBack"/>
            <w:bookmarkEnd w:id="15"/>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4918</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585"/>
        </w:trPr>
        <w:tc>
          <w:tcPr>
            <w:tcW w:w="1260" w:type="dxa"/>
            <w:tcBorders>
              <w:top w:val="nil"/>
              <w:left w:val="nil"/>
              <w:bottom w:val="single" w:sz="8" w:space="0" w:color="auto"/>
              <w:right w:val="nil"/>
            </w:tcBorders>
            <w:shd w:val="clear" w:color="000000" w:fill="FFFF00"/>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4993/1</w:t>
            </w:r>
          </w:p>
        </w:tc>
        <w:tc>
          <w:tcPr>
            <w:tcW w:w="3200" w:type="dxa"/>
            <w:tcBorders>
              <w:top w:val="nil"/>
              <w:left w:val="nil"/>
              <w:bottom w:val="single" w:sz="8" w:space="0" w:color="auto"/>
              <w:right w:val="nil"/>
            </w:tcBorders>
            <w:shd w:val="clear" w:color="000000" w:fill="FFFF00"/>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 xml:space="preserve">Správa a údržba silnic Ústeckého kraje, příspěvková </w:t>
            </w:r>
            <w:proofErr w:type="spellStart"/>
            <w:r w:rsidRPr="00744C56">
              <w:rPr>
                <w:rFonts w:ascii="Calibri" w:hAnsi="Calibri" w:cs="Calibri"/>
                <w:color w:val="000000"/>
                <w:sz w:val="22"/>
                <w:szCs w:val="22"/>
              </w:rPr>
              <w:t>org</w:t>
            </w:r>
            <w:proofErr w:type="spellEnd"/>
            <w:r w:rsidRPr="00744C56">
              <w:rPr>
                <w:rFonts w:ascii="Calibri" w:hAnsi="Calibri" w:cs="Calibri"/>
                <w:color w:val="000000"/>
                <w:sz w:val="22"/>
                <w:szCs w:val="22"/>
              </w:rPr>
              <w:t>.</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4923/1</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4865/148</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4950/3</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4865/132</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4948/2</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4865/50</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4928/1</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4865/65</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4928/3</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4897/1</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4927/10</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4897/3</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4927/1</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4897/2</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4927/6</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4865/49</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4927/4</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4901/13</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4927/5</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4901/14</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4964/12</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4898/1</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4927/12</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4898/2</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4926/4</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4912/153</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4927/3</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4912/150</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4929/2</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4982/1</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4930/2</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4912/1</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4930/1</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4914/1</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5304/4</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r w:rsidR="00744C56" w:rsidRPr="00744C56" w:rsidTr="00744C56">
        <w:trPr>
          <w:trHeight w:val="315"/>
        </w:trPr>
        <w:tc>
          <w:tcPr>
            <w:tcW w:w="12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4912/151</w:t>
            </w:r>
          </w:p>
        </w:tc>
        <w:tc>
          <w:tcPr>
            <w:tcW w:w="320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c>
          <w:tcPr>
            <w:tcW w:w="1240" w:type="dxa"/>
            <w:tcBorders>
              <w:top w:val="nil"/>
              <w:left w:val="double" w:sz="6" w:space="0" w:color="auto"/>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5313/3</w:t>
            </w:r>
          </w:p>
        </w:tc>
        <w:tc>
          <w:tcPr>
            <w:tcW w:w="2660" w:type="dxa"/>
            <w:tcBorders>
              <w:top w:val="nil"/>
              <w:left w:val="nil"/>
              <w:bottom w:val="single" w:sz="8" w:space="0" w:color="auto"/>
              <w:right w:val="nil"/>
            </w:tcBorders>
            <w:shd w:val="clear" w:color="000000" w:fill="D8FCDA"/>
            <w:noWrap/>
            <w:vAlign w:val="bottom"/>
            <w:hideMark/>
          </w:tcPr>
          <w:p w:rsidR="00744C56" w:rsidRPr="00744C56" w:rsidRDefault="00744C56" w:rsidP="00744C56">
            <w:pPr>
              <w:rPr>
                <w:rFonts w:ascii="Calibri" w:hAnsi="Calibri" w:cs="Calibri"/>
                <w:color w:val="000000"/>
                <w:sz w:val="22"/>
                <w:szCs w:val="22"/>
              </w:rPr>
            </w:pPr>
            <w:r w:rsidRPr="00744C56">
              <w:rPr>
                <w:rFonts w:ascii="Calibri" w:hAnsi="Calibri" w:cs="Calibri"/>
                <w:color w:val="000000"/>
                <w:sz w:val="22"/>
                <w:szCs w:val="22"/>
              </w:rPr>
              <w:t>Statutární město Chomutov</w:t>
            </w:r>
          </w:p>
        </w:tc>
      </w:tr>
    </w:tbl>
    <w:p w:rsidR="0009316B" w:rsidRDefault="0009316B" w:rsidP="00DF22C1">
      <w:pPr>
        <w:spacing w:line="360" w:lineRule="auto"/>
        <w:jc w:val="both"/>
        <w:rPr>
          <w:rFonts w:asciiTheme="minorHAnsi" w:hAnsiTheme="minorHAnsi" w:cstheme="minorHAnsi"/>
        </w:rPr>
      </w:pPr>
      <w:r w:rsidRPr="0009316B">
        <w:rPr>
          <w:rFonts w:asciiTheme="minorHAnsi" w:hAnsiTheme="minorHAnsi" w:cstheme="minorHAnsi"/>
        </w:rPr>
        <w:tab/>
      </w:r>
    </w:p>
    <w:p w:rsidR="00D9171E" w:rsidRDefault="00D9171E" w:rsidP="00942DA7">
      <w:pPr>
        <w:pStyle w:val="Nadpis1"/>
        <w:numPr>
          <w:ilvl w:val="2"/>
          <w:numId w:val="2"/>
        </w:numPr>
        <w:spacing w:before="0" w:after="0" w:line="360" w:lineRule="auto"/>
        <w:ind w:left="567" w:hanging="284"/>
        <w:rPr>
          <w:rFonts w:ascii="Calibri" w:hAnsi="Calibri"/>
          <w:color w:val="7F7F7F"/>
          <w:sz w:val="20"/>
          <w:szCs w:val="20"/>
        </w:rPr>
      </w:pPr>
      <w:bookmarkStart w:id="16" w:name="_Toc27300964"/>
      <w:r>
        <w:rPr>
          <w:rFonts w:ascii="Calibri" w:hAnsi="Calibri"/>
          <w:color w:val="7F7F7F"/>
          <w:sz w:val="20"/>
          <w:szCs w:val="20"/>
        </w:rPr>
        <w:t>Seznam pozemků podle katastru nemovitostí, na kterých vznikne ochranné pásmo nebo bezpečnostní pásmo</w:t>
      </w:r>
      <w:bookmarkEnd w:id="16"/>
    </w:p>
    <w:p w:rsidR="00D9171E" w:rsidRDefault="00D9171E" w:rsidP="00942DA7">
      <w:pPr>
        <w:spacing w:line="360" w:lineRule="auto"/>
        <w:rPr>
          <w:rFonts w:ascii="Calibri" w:hAnsi="Calibri"/>
        </w:rPr>
      </w:pPr>
      <w:r w:rsidRPr="00D9171E">
        <w:rPr>
          <w:rFonts w:ascii="Calibri" w:hAnsi="Calibri"/>
        </w:rPr>
        <w:t>Po provedení stavby nevznikne žádné ochranné ani bezpečnostní pásmo.</w:t>
      </w:r>
    </w:p>
    <w:p w:rsidR="00907468" w:rsidRDefault="00907468" w:rsidP="00942DA7">
      <w:pPr>
        <w:spacing w:line="360" w:lineRule="auto"/>
        <w:rPr>
          <w:rFonts w:ascii="Calibri" w:hAnsi="Calibri"/>
        </w:rPr>
      </w:pPr>
    </w:p>
    <w:p w:rsidR="00D9171E" w:rsidRDefault="00D9171E" w:rsidP="00942DA7">
      <w:pPr>
        <w:pStyle w:val="Nadpis1"/>
        <w:numPr>
          <w:ilvl w:val="2"/>
          <w:numId w:val="2"/>
        </w:numPr>
        <w:spacing w:before="0" w:after="0" w:line="360" w:lineRule="auto"/>
        <w:ind w:left="567" w:hanging="284"/>
        <w:rPr>
          <w:rFonts w:ascii="Calibri" w:hAnsi="Calibri"/>
          <w:color w:val="7F7F7F"/>
          <w:sz w:val="20"/>
          <w:szCs w:val="20"/>
        </w:rPr>
      </w:pPr>
      <w:bookmarkStart w:id="17" w:name="_Toc27300965"/>
      <w:r>
        <w:rPr>
          <w:rFonts w:ascii="Calibri" w:hAnsi="Calibri"/>
          <w:color w:val="7F7F7F"/>
          <w:sz w:val="20"/>
          <w:szCs w:val="20"/>
        </w:rPr>
        <w:lastRenderedPageBreak/>
        <w:t>Požadavky na monitoringy a sledování přetvoření</w:t>
      </w:r>
      <w:bookmarkEnd w:id="17"/>
    </w:p>
    <w:p w:rsidR="00D9171E" w:rsidRDefault="00D9171E" w:rsidP="00942DA7">
      <w:pPr>
        <w:spacing w:line="360" w:lineRule="auto"/>
        <w:rPr>
          <w:rFonts w:ascii="Calibri" w:hAnsi="Calibri"/>
        </w:rPr>
      </w:pPr>
      <w:r w:rsidRPr="00D9171E">
        <w:rPr>
          <w:rFonts w:ascii="Calibri" w:hAnsi="Calibri"/>
        </w:rPr>
        <w:t>Není řešeno.</w:t>
      </w:r>
    </w:p>
    <w:p w:rsidR="00907468" w:rsidRDefault="00907468" w:rsidP="00942DA7">
      <w:pPr>
        <w:spacing w:line="360" w:lineRule="auto"/>
      </w:pPr>
    </w:p>
    <w:p w:rsidR="000A5D20" w:rsidRDefault="00D9171E" w:rsidP="00942DA7">
      <w:pPr>
        <w:pStyle w:val="Nadpis1"/>
        <w:numPr>
          <w:ilvl w:val="2"/>
          <w:numId w:val="2"/>
        </w:numPr>
        <w:spacing w:before="0" w:after="0" w:line="360" w:lineRule="auto"/>
        <w:ind w:left="567" w:hanging="284"/>
        <w:rPr>
          <w:rFonts w:ascii="Calibri" w:hAnsi="Calibri"/>
          <w:color w:val="7F7F7F"/>
          <w:sz w:val="20"/>
          <w:szCs w:val="20"/>
        </w:rPr>
      </w:pPr>
      <w:bookmarkStart w:id="18" w:name="_Toc27300966"/>
      <w:r>
        <w:rPr>
          <w:rFonts w:ascii="Calibri" w:hAnsi="Calibri"/>
          <w:color w:val="7F7F7F"/>
          <w:sz w:val="20"/>
          <w:szCs w:val="20"/>
        </w:rPr>
        <w:t>Možnosti napojení stavby na veřejnou dopravní a technickou infrastrukturu</w:t>
      </w:r>
      <w:bookmarkEnd w:id="18"/>
    </w:p>
    <w:p w:rsidR="00D9171E" w:rsidRDefault="00AD44DC" w:rsidP="00130481">
      <w:pPr>
        <w:spacing w:line="360" w:lineRule="auto"/>
        <w:jc w:val="both"/>
        <w:rPr>
          <w:rFonts w:ascii="Calibri" w:hAnsi="Calibri"/>
        </w:rPr>
      </w:pPr>
      <w:r>
        <w:rPr>
          <w:rFonts w:ascii="Calibri" w:hAnsi="Calibri"/>
        </w:rPr>
        <w:t>Beze změny.</w:t>
      </w:r>
    </w:p>
    <w:p w:rsidR="00AD44DC" w:rsidRPr="00130481" w:rsidRDefault="00AD44DC" w:rsidP="00130481">
      <w:pPr>
        <w:spacing w:line="360" w:lineRule="auto"/>
        <w:jc w:val="both"/>
        <w:rPr>
          <w:rFonts w:ascii="Calibri" w:hAnsi="Calibri"/>
        </w:rPr>
      </w:pPr>
    </w:p>
    <w:p w:rsidR="00002B4E" w:rsidRDefault="00002B4E" w:rsidP="00942DA7">
      <w:pPr>
        <w:pStyle w:val="Nadpis1"/>
        <w:numPr>
          <w:ilvl w:val="0"/>
          <w:numId w:val="3"/>
        </w:numPr>
        <w:spacing w:before="0" w:after="0" w:line="360" w:lineRule="auto"/>
        <w:ind w:left="426" w:hanging="426"/>
        <w:rPr>
          <w:rFonts w:ascii="Calibri" w:hAnsi="Calibri" w:cs="Calibri"/>
          <w:sz w:val="20"/>
          <w:szCs w:val="20"/>
        </w:rPr>
      </w:pPr>
      <w:bookmarkStart w:id="19" w:name="_Toc27300967"/>
      <w:r w:rsidRPr="006179DE">
        <w:rPr>
          <w:rFonts w:ascii="Calibri" w:hAnsi="Calibri" w:cs="Calibri"/>
          <w:sz w:val="20"/>
          <w:szCs w:val="20"/>
        </w:rPr>
        <w:t>CELKOVÝ POPIS STAVBY</w:t>
      </w:r>
      <w:bookmarkEnd w:id="19"/>
    </w:p>
    <w:p w:rsidR="00907468" w:rsidRPr="00907468" w:rsidRDefault="00907468" w:rsidP="00907468"/>
    <w:p w:rsidR="00D9171E" w:rsidRDefault="00D9171E" w:rsidP="00942DA7">
      <w:pPr>
        <w:pStyle w:val="Nadpis1"/>
        <w:numPr>
          <w:ilvl w:val="1"/>
          <w:numId w:val="3"/>
        </w:numPr>
        <w:spacing w:before="0" w:after="0" w:line="360" w:lineRule="auto"/>
        <w:ind w:left="426" w:hanging="426"/>
        <w:rPr>
          <w:rFonts w:ascii="Calibri" w:hAnsi="Calibri" w:cs="Calibri"/>
          <w:color w:val="808080"/>
          <w:sz w:val="20"/>
          <w:szCs w:val="20"/>
        </w:rPr>
      </w:pPr>
      <w:bookmarkStart w:id="20" w:name="_Toc27300968"/>
      <w:r>
        <w:rPr>
          <w:rFonts w:ascii="Calibri" w:hAnsi="Calibri" w:cs="Calibri"/>
          <w:color w:val="808080"/>
          <w:sz w:val="20"/>
          <w:szCs w:val="20"/>
        </w:rPr>
        <w:t>Celkový koncept řešení stavby</w:t>
      </w:r>
      <w:bookmarkEnd w:id="20"/>
    </w:p>
    <w:p w:rsidR="00907468" w:rsidRPr="00907468" w:rsidRDefault="00907468" w:rsidP="00907468"/>
    <w:p w:rsidR="00D9171E" w:rsidRPr="001D63CE" w:rsidRDefault="00D9171E" w:rsidP="001D63CE">
      <w:pPr>
        <w:pStyle w:val="Nadpis1"/>
        <w:numPr>
          <w:ilvl w:val="2"/>
          <w:numId w:val="32"/>
        </w:numPr>
        <w:spacing w:before="0" w:after="0" w:line="360" w:lineRule="auto"/>
        <w:ind w:left="567" w:hanging="283"/>
        <w:rPr>
          <w:rFonts w:ascii="Calibri" w:hAnsi="Calibri"/>
          <w:color w:val="7F7F7F"/>
          <w:sz w:val="20"/>
          <w:szCs w:val="20"/>
        </w:rPr>
      </w:pPr>
      <w:bookmarkStart w:id="21" w:name="_Toc27300969"/>
      <w:r w:rsidRPr="001D63CE">
        <w:rPr>
          <w:rFonts w:ascii="Calibri" w:hAnsi="Calibri"/>
          <w:color w:val="7F7F7F"/>
          <w:sz w:val="20"/>
          <w:szCs w:val="20"/>
        </w:rPr>
        <w:t>Nová stavba nebo změna dokončené stavby</w:t>
      </w:r>
      <w:bookmarkEnd w:id="21"/>
    </w:p>
    <w:p w:rsidR="00335973" w:rsidRDefault="00335973" w:rsidP="00335973">
      <w:pPr>
        <w:spacing w:line="360" w:lineRule="auto"/>
        <w:jc w:val="both"/>
        <w:rPr>
          <w:rFonts w:ascii="Calibri" w:hAnsi="Calibri" w:cs="Calibri"/>
        </w:rPr>
      </w:pPr>
      <w:r w:rsidRPr="00335973">
        <w:rPr>
          <w:rFonts w:ascii="Calibri" w:hAnsi="Calibri" w:cs="Calibri"/>
        </w:rPr>
        <w:t xml:space="preserve">Jedná se </w:t>
      </w:r>
      <w:r w:rsidR="00DF720F">
        <w:rPr>
          <w:rFonts w:ascii="Calibri" w:hAnsi="Calibri" w:cs="Calibri"/>
        </w:rPr>
        <w:t xml:space="preserve">o </w:t>
      </w:r>
      <w:r w:rsidR="004D340D">
        <w:rPr>
          <w:rFonts w:ascii="Calibri" w:hAnsi="Calibri" w:cs="Calibri"/>
        </w:rPr>
        <w:t>novou stavbu – obnovu.</w:t>
      </w:r>
    </w:p>
    <w:p w:rsidR="00907468" w:rsidRPr="00335973" w:rsidRDefault="00907468" w:rsidP="00335973">
      <w:pPr>
        <w:spacing w:line="360" w:lineRule="auto"/>
        <w:jc w:val="both"/>
        <w:rPr>
          <w:rFonts w:ascii="Calibri" w:hAnsi="Calibri" w:cs="Calibri"/>
        </w:rPr>
      </w:pPr>
    </w:p>
    <w:p w:rsidR="00002B4E" w:rsidRPr="001D63CE" w:rsidRDefault="00002B4E" w:rsidP="001D63CE">
      <w:pPr>
        <w:pStyle w:val="Nadpis1"/>
        <w:numPr>
          <w:ilvl w:val="2"/>
          <w:numId w:val="32"/>
        </w:numPr>
        <w:spacing w:before="0" w:after="0" w:line="360" w:lineRule="auto"/>
        <w:ind w:left="567" w:hanging="283"/>
        <w:rPr>
          <w:rFonts w:ascii="Calibri" w:hAnsi="Calibri"/>
          <w:color w:val="7F7F7F"/>
          <w:sz w:val="20"/>
          <w:szCs w:val="20"/>
        </w:rPr>
      </w:pPr>
      <w:bookmarkStart w:id="22" w:name="_Toc27300970"/>
      <w:r w:rsidRPr="001D63CE">
        <w:rPr>
          <w:rFonts w:ascii="Calibri" w:hAnsi="Calibri"/>
          <w:color w:val="7F7F7F"/>
          <w:sz w:val="20"/>
          <w:szCs w:val="20"/>
        </w:rPr>
        <w:t>Účel užívání stavby, základní kapacity funkčních jednotek</w:t>
      </w:r>
      <w:bookmarkEnd w:id="22"/>
    </w:p>
    <w:p w:rsidR="00BE5934" w:rsidRPr="00220ACE" w:rsidRDefault="004F303A" w:rsidP="00942DA7">
      <w:pPr>
        <w:spacing w:line="360" w:lineRule="auto"/>
        <w:jc w:val="both"/>
        <w:rPr>
          <w:rFonts w:ascii="Calibri" w:hAnsi="Calibri" w:cs="Calibri"/>
        </w:rPr>
      </w:pPr>
      <w:r>
        <w:rPr>
          <w:rFonts w:ascii="Calibri" w:hAnsi="Calibri" w:cs="Calibri"/>
        </w:rPr>
        <w:t xml:space="preserve">Dopravní infrastruktura, účel užívání se nezmění. </w:t>
      </w:r>
    </w:p>
    <w:p w:rsidR="00220ACE" w:rsidRDefault="00220ACE" w:rsidP="00942DA7">
      <w:pPr>
        <w:spacing w:line="360" w:lineRule="auto"/>
        <w:jc w:val="both"/>
        <w:rPr>
          <w:rFonts w:ascii="Calibri" w:hAnsi="Calibri" w:cs="Calibri"/>
        </w:rPr>
      </w:pPr>
      <w:r w:rsidRPr="00220ACE">
        <w:rPr>
          <w:rFonts w:ascii="Calibri" w:hAnsi="Calibri" w:cs="Calibri"/>
        </w:rPr>
        <w:t>Základní kapacity jsou zmíněny v odstavci f)</w:t>
      </w:r>
    </w:p>
    <w:p w:rsidR="00907468" w:rsidRPr="00220ACE" w:rsidRDefault="00907468" w:rsidP="00942DA7">
      <w:pPr>
        <w:spacing w:line="360" w:lineRule="auto"/>
        <w:jc w:val="both"/>
        <w:rPr>
          <w:rFonts w:ascii="Calibri" w:hAnsi="Calibri" w:cs="Calibri"/>
        </w:rPr>
      </w:pPr>
    </w:p>
    <w:p w:rsidR="00002B4E" w:rsidRPr="001D63CE" w:rsidRDefault="00BE5934" w:rsidP="001D63CE">
      <w:pPr>
        <w:pStyle w:val="Nadpis1"/>
        <w:numPr>
          <w:ilvl w:val="2"/>
          <w:numId w:val="32"/>
        </w:numPr>
        <w:spacing w:before="0" w:after="0" w:line="360" w:lineRule="auto"/>
        <w:ind w:left="567" w:hanging="283"/>
        <w:rPr>
          <w:rFonts w:ascii="Calibri" w:hAnsi="Calibri"/>
          <w:color w:val="7F7F7F"/>
          <w:sz w:val="20"/>
          <w:szCs w:val="20"/>
        </w:rPr>
      </w:pPr>
      <w:bookmarkStart w:id="23" w:name="_Toc27300971"/>
      <w:r w:rsidRPr="001D63CE">
        <w:rPr>
          <w:rFonts w:ascii="Calibri" w:hAnsi="Calibri"/>
          <w:color w:val="7F7F7F"/>
          <w:sz w:val="20"/>
          <w:szCs w:val="20"/>
        </w:rPr>
        <w:t>Trvalá nebo dočasná stavba</w:t>
      </w:r>
      <w:bookmarkEnd w:id="23"/>
    </w:p>
    <w:p w:rsidR="00942DA7" w:rsidRDefault="00335973" w:rsidP="00335973">
      <w:pPr>
        <w:autoSpaceDE w:val="0"/>
        <w:autoSpaceDN w:val="0"/>
        <w:adjustRightInd w:val="0"/>
        <w:spacing w:line="360" w:lineRule="auto"/>
        <w:jc w:val="both"/>
        <w:outlineLvl w:val="0"/>
        <w:rPr>
          <w:rFonts w:ascii="Calibri" w:hAnsi="Calibri" w:cs="Calibri"/>
        </w:rPr>
      </w:pPr>
      <w:bookmarkStart w:id="24" w:name="_Toc27300972"/>
      <w:r w:rsidRPr="00335973">
        <w:rPr>
          <w:rFonts w:ascii="Calibri" w:hAnsi="Calibri" w:cs="Calibri"/>
        </w:rPr>
        <w:t>Jedná se o trvalou stavbu.</w:t>
      </w:r>
      <w:bookmarkEnd w:id="24"/>
    </w:p>
    <w:p w:rsidR="00907468" w:rsidRDefault="00907468" w:rsidP="00335973">
      <w:pPr>
        <w:autoSpaceDE w:val="0"/>
        <w:autoSpaceDN w:val="0"/>
        <w:adjustRightInd w:val="0"/>
        <w:spacing w:line="360" w:lineRule="auto"/>
        <w:jc w:val="both"/>
        <w:outlineLvl w:val="0"/>
        <w:rPr>
          <w:rFonts w:ascii="Calibri" w:hAnsi="Calibri" w:cs="Calibri"/>
        </w:rPr>
      </w:pPr>
    </w:p>
    <w:p w:rsidR="00BE5934" w:rsidRPr="001D63CE" w:rsidRDefault="00BE5934" w:rsidP="001D63CE">
      <w:pPr>
        <w:pStyle w:val="Nadpis1"/>
        <w:numPr>
          <w:ilvl w:val="2"/>
          <w:numId w:val="32"/>
        </w:numPr>
        <w:spacing w:before="0" w:after="0" w:line="360" w:lineRule="auto"/>
        <w:ind w:left="567" w:hanging="283"/>
        <w:rPr>
          <w:rFonts w:ascii="Calibri" w:hAnsi="Calibri"/>
          <w:color w:val="7F7F7F"/>
          <w:sz w:val="20"/>
          <w:szCs w:val="20"/>
        </w:rPr>
      </w:pPr>
      <w:bookmarkStart w:id="25" w:name="_Toc27300973"/>
      <w:r w:rsidRPr="001D63CE">
        <w:rPr>
          <w:rFonts w:ascii="Calibri" w:hAnsi="Calibri"/>
          <w:color w:val="7F7F7F"/>
          <w:sz w:val="20"/>
          <w:szCs w:val="20"/>
        </w:rPr>
        <w:t>Informace o vydaných rozhodnutích o povolení výjimky z technických požadavků na stavby a technických požadavků zabezpečující bezbariérové užívání stavby nebo souhlasu s odchylným řešením z platných předpisů a norem</w:t>
      </w:r>
      <w:bookmarkEnd w:id="25"/>
    </w:p>
    <w:p w:rsidR="00F004F9" w:rsidRDefault="00F004F9" w:rsidP="00942DA7">
      <w:pPr>
        <w:spacing w:line="360" w:lineRule="auto"/>
        <w:rPr>
          <w:rFonts w:ascii="Calibri" w:hAnsi="Calibri" w:cs="Times New Roman"/>
          <w:bCs/>
          <w:kern w:val="32"/>
        </w:rPr>
      </w:pPr>
      <w:r w:rsidRPr="00F004F9">
        <w:rPr>
          <w:rFonts w:ascii="Calibri" w:hAnsi="Calibri" w:cs="Times New Roman"/>
          <w:bCs/>
          <w:kern w:val="32"/>
        </w:rPr>
        <w:t>Nebylo řešeno.</w:t>
      </w:r>
    </w:p>
    <w:p w:rsidR="00907468" w:rsidRPr="00F004F9" w:rsidRDefault="00907468" w:rsidP="00942DA7">
      <w:pPr>
        <w:spacing w:line="360" w:lineRule="auto"/>
        <w:rPr>
          <w:rFonts w:ascii="Calibri" w:hAnsi="Calibri" w:cs="Times New Roman"/>
          <w:bCs/>
          <w:kern w:val="32"/>
        </w:rPr>
      </w:pPr>
    </w:p>
    <w:p w:rsidR="00BE5934" w:rsidRPr="001D63CE" w:rsidRDefault="00BE5934" w:rsidP="001D63CE">
      <w:pPr>
        <w:pStyle w:val="Nadpis1"/>
        <w:numPr>
          <w:ilvl w:val="2"/>
          <w:numId w:val="32"/>
        </w:numPr>
        <w:spacing w:before="0" w:after="0" w:line="360" w:lineRule="auto"/>
        <w:ind w:left="567" w:hanging="283"/>
        <w:rPr>
          <w:rFonts w:ascii="Calibri" w:hAnsi="Calibri"/>
          <w:color w:val="7F7F7F"/>
          <w:sz w:val="20"/>
          <w:szCs w:val="20"/>
        </w:rPr>
      </w:pPr>
      <w:bookmarkStart w:id="26" w:name="_Toc27300974"/>
      <w:r w:rsidRPr="001D63CE">
        <w:rPr>
          <w:rFonts w:ascii="Calibri" w:hAnsi="Calibri"/>
          <w:color w:val="7F7F7F"/>
          <w:sz w:val="20"/>
          <w:szCs w:val="20"/>
        </w:rPr>
        <w:t xml:space="preserve">Informace o tom, zda a v jakých částech dokumentace </w:t>
      </w:r>
      <w:r w:rsidR="00B56E30">
        <w:rPr>
          <w:rFonts w:ascii="Calibri" w:hAnsi="Calibri"/>
          <w:color w:val="7F7F7F"/>
          <w:sz w:val="20"/>
          <w:szCs w:val="20"/>
        </w:rPr>
        <w:t>jsou zohledněny podmínky</w:t>
      </w:r>
      <w:r w:rsidRPr="001D63CE">
        <w:rPr>
          <w:rFonts w:ascii="Calibri" w:hAnsi="Calibri"/>
          <w:color w:val="7F7F7F"/>
          <w:sz w:val="20"/>
          <w:szCs w:val="20"/>
        </w:rPr>
        <w:t xml:space="preserve"> závazných stanovisek dotčených orgánů.</w:t>
      </w:r>
      <w:bookmarkEnd w:id="26"/>
    </w:p>
    <w:p w:rsidR="006545E5" w:rsidRDefault="006545E5" w:rsidP="00942DA7">
      <w:pPr>
        <w:spacing w:line="360" w:lineRule="auto"/>
        <w:jc w:val="both"/>
        <w:rPr>
          <w:rFonts w:ascii="Calibri" w:hAnsi="Calibri" w:cs="Calibri"/>
        </w:rPr>
      </w:pPr>
      <w:r w:rsidRPr="00764FAD">
        <w:rPr>
          <w:rFonts w:ascii="Calibri" w:hAnsi="Calibri" w:cs="Calibri"/>
        </w:rPr>
        <w:t>Veškeré požadavky dotčených orgánů byly zapracovány do projektové dokumentace, případně budou dodrženy během realizace stavby. Veškerá stanoviska jsou součástí dokladové části této projektové dokumentace.</w:t>
      </w:r>
    </w:p>
    <w:p w:rsidR="00907468" w:rsidRDefault="00907468" w:rsidP="00942DA7">
      <w:pPr>
        <w:spacing w:line="360" w:lineRule="auto"/>
        <w:jc w:val="both"/>
        <w:rPr>
          <w:rFonts w:ascii="Calibri" w:hAnsi="Calibri" w:cs="Calibri"/>
        </w:rPr>
      </w:pPr>
    </w:p>
    <w:p w:rsidR="00BE5934" w:rsidRPr="001D63CE" w:rsidRDefault="00BE5934" w:rsidP="001D63CE">
      <w:pPr>
        <w:pStyle w:val="Nadpis1"/>
        <w:numPr>
          <w:ilvl w:val="2"/>
          <w:numId w:val="32"/>
        </w:numPr>
        <w:spacing w:before="0" w:after="0" w:line="360" w:lineRule="auto"/>
        <w:ind w:left="567" w:hanging="283"/>
        <w:rPr>
          <w:rFonts w:ascii="Calibri" w:hAnsi="Calibri"/>
          <w:color w:val="7F7F7F"/>
          <w:sz w:val="20"/>
          <w:szCs w:val="20"/>
        </w:rPr>
      </w:pPr>
      <w:bookmarkStart w:id="27" w:name="_Toc27300975"/>
      <w:r w:rsidRPr="001D63CE">
        <w:rPr>
          <w:rFonts w:ascii="Calibri" w:hAnsi="Calibri"/>
          <w:color w:val="7F7F7F"/>
          <w:sz w:val="20"/>
          <w:szCs w:val="20"/>
        </w:rPr>
        <w:t>Celkový popis koncepce řešení stavby včetně základních parametrů stavby</w:t>
      </w:r>
      <w:bookmarkEnd w:id="27"/>
    </w:p>
    <w:p w:rsidR="0019332C" w:rsidRDefault="0019332C" w:rsidP="00942DA7">
      <w:pPr>
        <w:spacing w:line="360" w:lineRule="auto"/>
        <w:jc w:val="both"/>
        <w:rPr>
          <w:rFonts w:asciiTheme="minorHAnsi" w:hAnsiTheme="minorHAnsi" w:cstheme="minorHAnsi"/>
        </w:rPr>
      </w:pPr>
      <w:r>
        <w:rPr>
          <w:rFonts w:asciiTheme="minorHAnsi" w:hAnsiTheme="minorHAnsi" w:cstheme="minorHAnsi"/>
        </w:rPr>
        <w:t>Jedná se o obnovu stávající komunikace a chodníku.</w:t>
      </w:r>
      <w:r w:rsidR="005A770E">
        <w:rPr>
          <w:rFonts w:asciiTheme="minorHAnsi" w:hAnsiTheme="minorHAnsi" w:cstheme="minorHAnsi"/>
        </w:rPr>
        <w:t xml:space="preserve"> Obousměrná místní komunikace – sběrná v proměnné šíři cca 7,0 – 9,0m. Jízdní pruhy budou lemovány vodícími proužky šíře 0,25m. Jízdní pruhy budou mít konstantní šíři 3,25m, v </w:t>
      </w:r>
      <w:r w:rsidR="005A770E" w:rsidRPr="005A770E">
        <w:rPr>
          <w:rFonts w:asciiTheme="minorHAnsi" w:hAnsiTheme="minorHAnsi" w:cstheme="minorHAnsi"/>
          <w:b/>
        </w:rPr>
        <w:t>obloucích budou rozšířeny na hodnotu 3,50m.</w:t>
      </w:r>
      <w:r w:rsidR="005A770E">
        <w:rPr>
          <w:rFonts w:asciiTheme="minorHAnsi" w:hAnsiTheme="minorHAnsi" w:cstheme="minorHAnsi"/>
        </w:rPr>
        <w:t xml:space="preserve"> Stávající kamenné krajníky budou odstraněny a budou použity nové betonové obruby v celém rozsahu. Základní kapacity viz níže:</w:t>
      </w:r>
    </w:p>
    <w:p w:rsidR="00986778" w:rsidRPr="00AD759E" w:rsidRDefault="00220ACE" w:rsidP="00942DA7">
      <w:pPr>
        <w:spacing w:line="360" w:lineRule="auto"/>
        <w:jc w:val="both"/>
        <w:rPr>
          <w:rFonts w:asciiTheme="minorHAnsi" w:hAnsiTheme="minorHAnsi" w:cstheme="minorHAnsi"/>
        </w:rPr>
      </w:pPr>
      <w:r>
        <w:rPr>
          <w:rFonts w:asciiTheme="minorHAnsi" w:hAnsiTheme="minorHAnsi" w:cstheme="minorHAnsi"/>
        </w:rPr>
        <w:t xml:space="preserve"> </w:t>
      </w:r>
    </w:p>
    <w:p w:rsidR="00220ACE" w:rsidRPr="00AF1B94" w:rsidRDefault="00AF1B94" w:rsidP="00942DA7">
      <w:pPr>
        <w:spacing w:line="360" w:lineRule="auto"/>
        <w:jc w:val="both"/>
        <w:rPr>
          <w:rFonts w:asciiTheme="minorHAnsi" w:hAnsiTheme="minorHAnsi" w:cstheme="minorHAnsi"/>
        </w:rPr>
      </w:pPr>
      <w:r w:rsidRPr="00AF1B94">
        <w:rPr>
          <w:rFonts w:asciiTheme="minorHAnsi" w:hAnsiTheme="minorHAnsi" w:cstheme="minorHAnsi"/>
        </w:rPr>
        <w:lastRenderedPageBreak/>
        <w:t>Obnova asfaltové vozovky</w:t>
      </w:r>
      <w:r w:rsidRPr="00AF1B94">
        <w:rPr>
          <w:rFonts w:asciiTheme="minorHAnsi" w:hAnsiTheme="minorHAnsi" w:cstheme="minorHAnsi"/>
        </w:rPr>
        <w:tab/>
      </w:r>
      <w:r w:rsidRPr="00AF1B94">
        <w:rPr>
          <w:rFonts w:asciiTheme="minorHAnsi" w:hAnsiTheme="minorHAnsi" w:cstheme="minorHAnsi"/>
        </w:rPr>
        <w:tab/>
      </w:r>
      <w:r w:rsidRPr="00AF1B94">
        <w:rPr>
          <w:rFonts w:asciiTheme="minorHAnsi" w:hAnsiTheme="minorHAnsi" w:cstheme="minorHAnsi"/>
        </w:rPr>
        <w:tab/>
        <w:t>6490 m2</w:t>
      </w:r>
    </w:p>
    <w:p w:rsidR="00AF1B94" w:rsidRPr="00AF1B94" w:rsidRDefault="00AF1B94" w:rsidP="00942DA7">
      <w:pPr>
        <w:spacing w:line="360" w:lineRule="auto"/>
        <w:jc w:val="both"/>
        <w:rPr>
          <w:rFonts w:asciiTheme="minorHAnsi" w:hAnsiTheme="minorHAnsi" w:cstheme="minorHAnsi"/>
        </w:rPr>
      </w:pPr>
      <w:r w:rsidRPr="00AF1B94">
        <w:rPr>
          <w:rFonts w:asciiTheme="minorHAnsi" w:hAnsiTheme="minorHAnsi" w:cstheme="minorHAnsi"/>
        </w:rPr>
        <w:t>Obnova asfaltového chodníku</w:t>
      </w:r>
      <w:r w:rsidRPr="00AF1B94">
        <w:rPr>
          <w:rFonts w:asciiTheme="minorHAnsi" w:hAnsiTheme="minorHAnsi" w:cstheme="minorHAnsi"/>
        </w:rPr>
        <w:tab/>
      </w:r>
      <w:r w:rsidRPr="00AF1B94">
        <w:rPr>
          <w:rFonts w:asciiTheme="minorHAnsi" w:hAnsiTheme="minorHAnsi" w:cstheme="minorHAnsi"/>
        </w:rPr>
        <w:tab/>
        <w:t>1500m2</w:t>
      </w:r>
    </w:p>
    <w:p w:rsidR="00907468" w:rsidRPr="00220ACE" w:rsidRDefault="00907468" w:rsidP="00942DA7">
      <w:pPr>
        <w:spacing w:line="360" w:lineRule="auto"/>
        <w:jc w:val="both"/>
        <w:rPr>
          <w:rFonts w:asciiTheme="minorHAnsi" w:hAnsiTheme="minorHAnsi" w:cstheme="minorHAnsi"/>
        </w:rPr>
      </w:pPr>
    </w:p>
    <w:p w:rsidR="006545E5" w:rsidRPr="001D63CE" w:rsidRDefault="00986778" w:rsidP="00220ACE">
      <w:pPr>
        <w:spacing w:line="360" w:lineRule="auto"/>
        <w:jc w:val="both"/>
        <w:rPr>
          <w:rFonts w:ascii="Calibri" w:hAnsi="Calibri"/>
          <w:color w:val="7F7F7F"/>
        </w:rPr>
      </w:pPr>
      <w:r w:rsidRPr="00B5603C">
        <w:rPr>
          <w:rFonts w:asciiTheme="minorHAnsi" w:hAnsiTheme="minorHAnsi" w:cstheme="minorHAnsi"/>
          <w:color w:val="FF0000"/>
        </w:rPr>
        <w:t xml:space="preserve"> </w:t>
      </w:r>
      <w:r w:rsidR="006545E5" w:rsidRPr="001D63CE">
        <w:rPr>
          <w:rFonts w:ascii="Calibri" w:hAnsi="Calibri"/>
          <w:color w:val="7F7F7F"/>
        </w:rPr>
        <w:t>Ochrana stavby podle jiných právních předpisů</w:t>
      </w:r>
    </w:p>
    <w:p w:rsidR="00C9682F" w:rsidRDefault="00C9682F" w:rsidP="00C9682F">
      <w:pPr>
        <w:spacing w:line="360" w:lineRule="auto"/>
        <w:jc w:val="both"/>
        <w:rPr>
          <w:rFonts w:ascii="Calibri" w:hAnsi="Calibri" w:cs="Calibri"/>
        </w:rPr>
      </w:pPr>
      <w:r w:rsidRPr="00C9682F">
        <w:rPr>
          <w:rFonts w:ascii="Calibri" w:hAnsi="Calibri" w:cs="Calibri"/>
        </w:rPr>
        <w:t>Stavba není chráněna dle jiných právních předpisů.</w:t>
      </w:r>
    </w:p>
    <w:p w:rsidR="00907468" w:rsidRPr="00C9682F" w:rsidRDefault="00907468" w:rsidP="00C9682F">
      <w:pPr>
        <w:spacing w:line="360" w:lineRule="auto"/>
        <w:jc w:val="both"/>
        <w:rPr>
          <w:rFonts w:ascii="Calibri" w:hAnsi="Calibri" w:cs="Calibri"/>
        </w:rPr>
      </w:pPr>
    </w:p>
    <w:p w:rsidR="006545E5" w:rsidRDefault="006545E5" w:rsidP="001D63CE">
      <w:pPr>
        <w:pStyle w:val="Nadpis1"/>
        <w:numPr>
          <w:ilvl w:val="2"/>
          <w:numId w:val="32"/>
        </w:numPr>
        <w:spacing w:before="0" w:after="0" w:line="360" w:lineRule="auto"/>
        <w:ind w:left="567" w:hanging="283"/>
        <w:rPr>
          <w:rFonts w:ascii="Calibri" w:hAnsi="Calibri"/>
          <w:color w:val="7F7F7F"/>
          <w:sz w:val="20"/>
          <w:szCs w:val="20"/>
        </w:rPr>
      </w:pPr>
      <w:bookmarkStart w:id="28" w:name="_Toc27300976"/>
      <w:r w:rsidRPr="001D63CE">
        <w:rPr>
          <w:rFonts w:ascii="Calibri" w:hAnsi="Calibri"/>
          <w:color w:val="7F7F7F"/>
          <w:sz w:val="20"/>
          <w:szCs w:val="20"/>
        </w:rPr>
        <w:t>Základní bilance stavby – potřeby a spotřeby medií a hmot, hospodaření s dešťovou vodou, celkové produkované množství a druhy odpadů a emisí, třída energetické náročnosti budov apod.</w:t>
      </w:r>
      <w:bookmarkEnd w:id="28"/>
    </w:p>
    <w:p w:rsidR="00907468" w:rsidRPr="00907468" w:rsidRDefault="00907468" w:rsidP="00907468"/>
    <w:p w:rsidR="00C9682F" w:rsidRPr="00C9682F" w:rsidRDefault="00C9682F" w:rsidP="00C9682F">
      <w:pPr>
        <w:pStyle w:val="Odstavecseseznamem"/>
        <w:spacing w:line="360" w:lineRule="auto"/>
        <w:ind w:left="0"/>
        <w:jc w:val="both"/>
        <w:rPr>
          <w:rFonts w:ascii="Calibri" w:hAnsi="Calibri" w:cs="Calibri"/>
          <w:i/>
        </w:rPr>
      </w:pPr>
      <w:r w:rsidRPr="00C9682F">
        <w:rPr>
          <w:rFonts w:ascii="Calibri" w:hAnsi="Calibri" w:cs="Calibri"/>
          <w:i/>
        </w:rPr>
        <w:t>Celková bilance nároků všech druhů energií, tepla a teplé užitkové vody</w:t>
      </w:r>
    </w:p>
    <w:p w:rsidR="00C9682F" w:rsidRDefault="00C9682F" w:rsidP="00C9682F">
      <w:pPr>
        <w:spacing w:line="360" w:lineRule="auto"/>
        <w:jc w:val="both"/>
        <w:rPr>
          <w:rFonts w:ascii="Calibri" w:hAnsi="Calibri" w:cs="Calibri"/>
        </w:rPr>
      </w:pPr>
      <w:r w:rsidRPr="00C9682F">
        <w:rPr>
          <w:rFonts w:ascii="Calibri" w:hAnsi="Calibri" w:cs="Calibri"/>
        </w:rPr>
        <w:t>Ne</w:t>
      </w:r>
      <w:r w:rsidR="00C42B2D">
        <w:rPr>
          <w:rFonts w:ascii="Calibri" w:hAnsi="Calibri" w:cs="Calibri"/>
        </w:rPr>
        <w:t>řeší se</w:t>
      </w:r>
      <w:r w:rsidRPr="00C9682F">
        <w:rPr>
          <w:rFonts w:ascii="Calibri" w:hAnsi="Calibri" w:cs="Calibri"/>
        </w:rPr>
        <w:t>.</w:t>
      </w:r>
    </w:p>
    <w:p w:rsidR="00907468" w:rsidRPr="00C9682F" w:rsidRDefault="00907468" w:rsidP="00C9682F">
      <w:pPr>
        <w:spacing w:line="360" w:lineRule="auto"/>
        <w:jc w:val="both"/>
        <w:rPr>
          <w:rFonts w:ascii="Calibri" w:hAnsi="Calibri" w:cs="Calibri"/>
        </w:rPr>
      </w:pPr>
    </w:p>
    <w:p w:rsidR="00C9682F" w:rsidRPr="00C9682F" w:rsidRDefault="00C9682F" w:rsidP="00C9682F">
      <w:pPr>
        <w:pStyle w:val="Odstavecseseznamem"/>
        <w:spacing w:line="360" w:lineRule="auto"/>
        <w:ind w:left="0"/>
        <w:jc w:val="both"/>
        <w:rPr>
          <w:rFonts w:ascii="Calibri" w:hAnsi="Calibri" w:cs="Calibri"/>
          <w:i/>
        </w:rPr>
      </w:pPr>
      <w:r w:rsidRPr="00C9682F">
        <w:rPr>
          <w:rFonts w:ascii="Calibri" w:hAnsi="Calibri" w:cs="Calibri"/>
          <w:i/>
        </w:rPr>
        <w:t>Celková spotřeba vody (z toho voda pro technologii)</w:t>
      </w:r>
    </w:p>
    <w:p w:rsidR="00C9682F" w:rsidRDefault="00C9682F" w:rsidP="00C9682F">
      <w:pPr>
        <w:spacing w:line="360" w:lineRule="auto"/>
        <w:jc w:val="both"/>
        <w:rPr>
          <w:rFonts w:ascii="Calibri" w:hAnsi="Calibri" w:cs="Calibri"/>
        </w:rPr>
      </w:pPr>
      <w:r w:rsidRPr="00C9682F">
        <w:rPr>
          <w:rFonts w:ascii="Calibri" w:hAnsi="Calibri" w:cs="Calibri"/>
        </w:rPr>
        <w:t>Neřeší se.</w:t>
      </w:r>
    </w:p>
    <w:p w:rsidR="00907468" w:rsidRPr="00C9682F" w:rsidRDefault="00907468" w:rsidP="00C9682F">
      <w:pPr>
        <w:spacing w:line="360" w:lineRule="auto"/>
        <w:jc w:val="both"/>
        <w:rPr>
          <w:rFonts w:ascii="Calibri" w:hAnsi="Calibri" w:cs="Calibri"/>
        </w:rPr>
      </w:pPr>
    </w:p>
    <w:p w:rsidR="00C9682F" w:rsidRPr="00C9682F" w:rsidRDefault="00C9682F" w:rsidP="00C9682F">
      <w:pPr>
        <w:pStyle w:val="Odstavecseseznamem"/>
        <w:spacing w:line="360" w:lineRule="auto"/>
        <w:ind w:left="0"/>
        <w:jc w:val="both"/>
        <w:rPr>
          <w:rFonts w:ascii="Calibri" w:hAnsi="Calibri" w:cs="Calibri"/>
          <w:i/>
        </w:rPr>
      </w:pPr>
      <w:r w:rsidRPr="00C9682F">
        <w:rPr>
          <w:rFonts w:ascii="Calibri" w:hAnsi="Calibri" w:cs="Calibri"/>
          <w:i/>
        </w:rPr>
        <w:t>Odborný odhad množství splaškových a dešťových vod</w:t>
      </w:r>
    </w:p>
    <w:p w:rsidR="00D8551E" w:rsidRDefault="00BD4FED" w:rsidP="00BD4FED">
      <w:pPr>
        <w:spacing w:line="360" w:lineRule="auto"/>
        <w:jc w:val="both"/>
        <w:rPr>
          <w:rFonts w:asciiTheme="minorHAnsi" w:hAnsiTheme="minorHAnsi"/>
          <w:color w:val="FF0000"/>
        </w:rPr>
      </w:pPr>
      <w:r>
        <w:rPr>
          <w:rFonts w:asciiTheme="minorHAnsi" w:hAnsiTheme="minorHAnsi"/>
        </w:rPr>
        <w:t>Nezmění se.</w:t>
      </w:r>
    </w:p>
    <w:p w:rsidR="00907468" w:rsidRDefault="00907468" w:rsidP="008E11C3">
      <w:pPr>
        <w:spacing w:line="360" w:lineRule="auto"/>
        <w:jc w:val="center"/>
        <w:rPr>
          <w:rFonts w:asciiTheme="minorHAnsi" w:hAnsiTheme="minorHAnsi"/>
          <w:color w:val="FF0000"/>
        </w:rPr>
      </w:pPr>
    </w:p>
    <w:p w:rsidR="00C9682F" w:rsidRPr="00C9682F" w:rsidRDefault="00C9682F" w:rsidP="00C9682F">
      <w:pPr>
        <w:pStyle w:val="Odstavecseseznamem"/>
        <w:spacing w:line="360" w:lineRule="auto"/>
        <w:ind w:left="0"/>
        <w:jc w:val="both"/>
        <w:rPr>
          <w:rFonts w:ascii="Calibri" w:hAnsi="Calibri" w:cs="Calibri"/>
          <w:i/>
        </w:rPr>
      </w:pPr>
      <w:r w:rsidRPr="00C9682F">
        <w:rPr>
          <w:rFonts w:ascii="Calibri" w:hAnsi="Calibri" w:cs="Calibri"/>
          <w:i/>
        </w:rPr>
        <w:t>Požadavky na kapacity veřejných sítí komunikačních vedení veřejné komunikační sítě</w:t>
      </w:r>
    </w:p>
    <w:p w:rsidR="00C9682F" w:rsidRDefault="00C9682F" w:rsidP="00C9682F">
      <w:pPr>
        <w:spacing w:line="360" w:lineRule="auto"/>
        <w:jc w:val="both"/>
        <w:rPr>
          <w:rFonts w:ascii="Calibri" w:hAnsi="Calibri" w:cs="Calibri"/>
        </w:rPr>
      </w:pPr>
      <w:r w:rsidRPr="00C9682F">
        <w:rPr>
          <w:rFonts w:ascii="Calibri" w:hAnsi="Calibri" w:cs="Calibri"/>
        </w:rPr>
        <w:t>Nejsou.</w:t>
      </w:r>
    </w:p>
    <w:p w:rsidR="00907468" w:rsidRPr="00C9682F" w:rsidRDefault="00907468" w:rsidP="00C9682F">
      <w:pPr>
        <w:spacing w:line="360" w:lineRule="auto"/>
        <w:jc w:val="both"/>
        <w:rPr>
          <w:rFonts w:ascii="Calibri" w:hAnsi="Calibri" w:cs="Calibri"/>
        </w:rPr>
      </w:pPr>
    </w:p>
    <w:p w:rsidR="00C9682F" w:rsidRPr="00C9682F" w:rsidRDefault="00C9682F" w:rsidP="00C9682F">
      <w:pPr>
        <w:pStyle w:val="Odstavecseseznamem"/>
        <w:spacing w:line="360" w:lineRule="auto"/>
        <w:ind w:left="0"/>
        <w:jc w:val="both"/>
        <w:rPr>
          <w:rFonts w:ascii="Calibri" w:hAnsi="Calibri" w:cs="Calibri"/>
          <w:i/>
        </w:rPr>
      </w:pPr>
      <w:r w:rsidRPr="00C9682F">
        <w:rPr>
          <w:rFonts w:ascii="Calibri" w:hAnsi="Calibri" w:cs="Calibri"/>
          <w:i/>
        </w:rPr>
        <w:t>Požadavky na kapacity elektronického komunikačního zařízení veřejné komunikační sítě</w:t>
      </w:r>
    </w:p>
    <w:p w:rsidR="00C9682F" w:rsidRDefault="00C9682F" w:rsidP="00C9682F">
      <w:pPr>
        <w:spacing w:line="360" w:lineRule="auto"/>
        <w:jc w:val="both"/>
        <w:rPr>
          <w:rFonts w:ascii="Calibri" w:hAnsi="Calibri" w:cs="Calibri"/>
        </w:rPr>
      </w:pPr>
      <w:r w:rsidRPr="00C9682F">
        <w:rPr>
          <w:rFonts w:ascii="Calibri" w:hAnsi="Calibri" w:cs="Calibri"/>
        </w:rPr>
        <w:t>Nejsou.</w:t>
      </w:r>
    </w:p>
    <w:p w:rsidR="00907468" w:rsidRPr="00C9682F" w:rsidRDefault="00907468" w:rsidP="00C9682F">
      <w:pPr>
        <w:spacing w:line="360" w:lineRule="auto"/>
        <w:jc w:val="both"/>
        <w:rPr>
          <w:rFonts w:ascii="Calibri" w:hAnsi="Calibri" w:cs="Calibri"/>
        </w:rPr>
      </w:pPr>
    </w:p>
    <w:p w:rsidR="00C9682F" w:rsidRPr="00C9682F" w:rsidRDefault="00C9682F" w:rsidP="00C9682F">
      <w:pPr>
        <w:pStyle w:val="Odstavecseseznamem"/>
        <w:spacing w:line="360" w:lineRule="auto"/>
        <w:ind w:left="0"/>
        <w:jc w:val="both"/>
        <w:rPr>
          <w:rFonts w:ascii="Calibri" w:hAnsi="Calibri" w:cs="Calibri"/>
          <w:i/>
        </w:rPr>
      </w:pPr>
      <w:r w:rsidRPr="00C9682F">
        <w:rPr>
          <w:rFonts w:ascii="Calibri" w:hAnsi="Calibri" w:cs="Calibri"/>
          <w:i/>
        </w:rPr>
        <w:t>Celkové produkované množství a druhy odpadů a emisí</w:t>
      </w:r>
    </w:p>
    <w:p w:rsidR="00C9682F" w:rsidRDefault="00C9682F" w:rsidP="00C9682F">
      <w:pPr>
        <w:spacing w:line="360" w:lineRule="auto"/>
        <w:jc w:val="both"/>
        <w:rPr>
          <w:rFonts w:ascii="Calibri" w:hAnsi="Calibri" w:cs="Calibri"/>
        </w:rPr>
      </w:pPr>
      <w:r w:rsidRPr="00C9682F">
        <w:rPr>
          <w:rFonts w:ascii="Calibri" w:hAnsi="Calibri" w:cs="Calibri"/>
        </w:rPr>
        <w:t xml:space="preserve">Vzhledem k charakteru stavby – komunikace, bude produkce odpadů minimální. Odpady vzniklé při servisní činnosti popřípadě opravách budou řešeny v rámci smluvního stavu s dodavatelem prací coby původcem odpadů. </w:t>
      </w:r>
    </w:p>
    <w:p w:rsidR="00907468" w:rsidRPr="00C9682F" w:rsidRDefault="00907468" w:rsidP="00C9682F">
      <w:pPr>
        <w:spacing w:line="360" w:lineRule="auto"/>
        <w:jc w:val="both"/>
        <w:rPr>
          <w:rFonts w:ascii="Calibri" w:hAnsi="Calibri" w:cs="Calibri"/>
        </w:rPr>
      </w:pPr>
    </w:p>
    <w:p w:rsidR="006545E5" w:rsidRPr="001D63CE" w:rsidRDefault="006545E5" w:rsidP="001D63CE">
      <w:pPr>
        <w:pStyle w:val="Nadpis1"/>
        <w:numPr>
          <w:ilvl w:val="2"/>
          <w:numId w:val="32"/>
        </w:numPr>
        <w:spacing w:before="0" w:after="0" w:line="360" w:lineRule="auto"/>
        <w:ind w:left="567" w:hanging="283"/>
        <w:rPr>
          <w:rFonts w:ascii="Calibri" w:hAnsi="Calibri"/>
          <w:color w:val="7F7F7F"/>
          <w:sz w:val="20"/>
          <w:szCs w:val="20"/>
        </w:rPr>
      </w:pPr>
      <w:bookmarkStart w:id="29" w:name="_Toc27300977"/>
      <w:r w:rsidRPr="001D63CE">
        <w:rPr>
          <w:rFonts w:ascii="Calibri" w:hAnsi="Calibri"/>
          <w:color w:val="7F7F7F"/>
          <w:sz w:val="20"/>
          <w:szCs w:val="20"/>
        </w:rPr>
        <w:t>Základní předpoklady výstavby – časové údaje o realizace staveb, členění na etapy</w:t>
      </w:r>
      <w:bookmarkEnd w:id="29"/>
    </w:p>
    <w:p w:rsidR="006545E5" w:rsidRDefault="006545E5" w:rsidP="00942DA7">
      <w:pPr>
        <w:spacing w:line="360" w:lineRule="auto"/>
        <w:jc w:val="both"/>
        <w:rPr>
          <w:rFonts w:ascii="Calibri" w:hAnsi="Calibri" w:cs="Calibri"/>
        </w:rPr>
      </w:pPr>
      <w:r w:rsidRPr="0096279E">
        <w:rPr>
          <w:rFonts w:ascii="Calibri" w:hAnsi="Calibri" w:cs="Calibri"/>
        </w:rPr>
        <w:t xml:space="preserve">Předpokládané zahájení stavby: </w:t>
      </w:r>
      <w:r w:rsidR="00FF47B9">
        <w:rPr>
          <w:rFonts w:ascii="Calibri" w:hAnsi="Calibri" w:cs="Calibri"/>
        </w:rPr>
        <w:t>2Q / 2021</w:t>
      </w:r>
    </w:p>
    <w:p w:rsidR="006545E5" w:rsidRPr="0096279E" w:rsidRDefault="006545E5" w:rsidP="00942DA7">
      <w:pPr>
        <w:spacing w:line="360" w:lineRule="auto"/>
        <w:jc w:val="both"/>
        <w:rPr>
          <w:rFonts w:ascii="Calibri" w:hAnsi="Calibri" w:cs="Calibri"/>
        </w:rPr>
      </w:pPr>
      <w:r w:rsidRPr="0096279E">
        <w:rPr>
          <w:rFonts w:ascii="Calibri" w:hAnsi="Calibri" w:cs="Calibri"/>
        </w:rPr>
        <w:t xml:space="preserve">Předpokládaná lhůta výstavby: </w:t>
      </w:r>
      <w:r w:rsidR="004741C6">
        <w:rPr>
          <w:rFonts w:ascii="Calibri" w:hAnsi="Calibri" w:cs="Calibri"/>
        </w:rPr>
        <w:t>3 měsíce</w:t>
      </w:r>
    </w:p>
    <w:p w:rsidR="006545E5" w:rsidRDefault="006545E5" w:rsidP="00EA3C3B">
      <w:pPr>
        <w:spacing w:line="360" w:lineRule="auto"/>
        <w:jc w:val="both"/>
        <w:rPr>
          <w:rFonts w:ascii="Calibri" w:hAnsi="Calibri" w:cs="Calibri"/>
        </w:rPr>
      </w:pPr>
      <w:r w:rsidRPr="0096279E">
        <w:rPr>
          <w:rFonts w:ascii="Calibri" w:hAnsi="Calibri" w:cs="Calibri"/>
        </w:rPr>
        <w:t xml:space="preserve">Stavba bude realizována </w:t>
      </w:r>
      <w:r w:rsidR="00EA3C3B">
        <w:rPr>
          <w:rFonts w:ascii="Calibri" w:hAnsi="Calibri" w:cs="Calibri"/>
        </w:rPr>
        <w:t>v</w:t>
      </w:r>
      <w:r w:rsidR="004741C6">
        <w:rPr>
          <w:rFonts w:ascii="Calibri" w:hAnsi="Calibri" w:cs="Calibri"/>
        </w:rPr>
        <w:t xml:space="preserve"> etapách tak, aby byla zajištěna obslužnost zdejšího území (rodinné domy, Penny market, Strike </w:t>
      </w:r>
      <w:proofErr w:type="spellStart"/>
      <w:r w:rsidR="004741C6">
        <w:rPr>
          <w:rFonts w:ascii="Calibri" w:hAnsi="Calibri" w:cs="Calibri"/>
        </w:rPr>
        <w:t>land</w:t>
      </w:r>
      <w:proofErr w:type="spellEnd"/>
      <w:r w:rsidR="004741C6">
        <w:rPr>
          <w:rFonts w:ascii="Calibri" w:hAnsi="Calibri" w:cs="Calibri"/>
        </w:rPr>
        <w:t>, zahrádky)</w:t>
      </w:r>
      <w:r w:rsidR="00EA3C3B">
        <w:rPr>
          <w:rFonts w:ascii="Calibri" w:hAnsi="Calibri" w:cs="Calibri"/>
        </w:rPr>
        <w:t xml:space="preserve"> </w:t>
      </w:r>
    </w:p>
    <w:p w:rsidR="00907468" w:rsidRDefault="00907468" w:rsidP="00EA3C3B">
      <w:pPr>
        <w:spacing w:line="360" w:lineRule="auto"/>
        <w:jc w:val="both"/>
        <w:rPr>
          <w:rFonts w:ascii="Calibri" w:hAnsi="Calibri" w:cs="Times New Roman"/>
          <w:b/>
          <w:bCs/>
          <w:color w:val="7F7F7F"/>
          <w:kern w:val="32"/>
        </w:rPr>
      </w:pPr>
    </w:p>
    <w:p w:rsidR="006545E5" w:rsidRPr="001D63CE" w:rsidRDefault="006545E5" w:rsidP="001D63CE">
      <w:pPr>
        <w:pStyle w:val="Nadpis1"/>
        <w:numPr>
          <w:ilvl w:val="2"/>
          <w:numId w:val="32"/>
        </w:numPr>
        <w:spacing w:before="0" w:after="0" w:line="360" w:lineRule="auto"/>
        <w:ind w:left="567" w:hanging="283"/>
        <w:rPr>
          <w:rFonts w:ascii="Calibri" w:hAnsi="Calibri"/>
          <w:color w:val="7F7F7F"/>
          <w:sz w:val="20"/>
          <w:szCs w:val="20"/>
        </w:rPr>
      </w:pPr>
      <w:bookmarkStart w:id="30" w:name="_Toc27300978"/>
      <w:r w:rsidRPr="001D63CE">
        <w:rPr>
          <w:rFonts w:ascii="Calibri" w:hAnsi="Calibri"/>
          <w:color w:val="7F7F7F"/>
          <w:sz w:val="20"/>
          <w:szCs w:val="20"/>
        </w:rPr>
        <w:lastRenderedPageBreak/>
        <w:t>Základní požadavky na předčasné užívání staveb, prozatímní užívání staveb ke zkušebnímu provozu</w:t>
      </w:r>
      <w:bookmarkEnd w:id="30"/>
    </w:p>
    <w:p w:rsidR="00C9682F" w:rsidRDefault="00E00595" w:rsidP="00E00595">
      <w:pPr>
        <w:spacing w:line="360" w:lineRule="auto"/>
        <w:jc w:val="both"/>
        <w:rPr>
          <w:rFonts w:ascii="Calibri" w:hAnsi="Calibri" w:cs="Calibri"/>
        </w:rPr>
      </w:pPr>
      <w:r>
        <w:rPr>
          <w:rFonts w:ascii="Calibri" w:hAnsi="Calibri" w:cs="Calibri"/>
        </w:rPr>
        <w:t>Celá stavba bude</w:t>
      </w:r>
      <w:r w:rsidR="00605BB8">
        <w:rPr>
          <w:rFonts w:ascii="Calibri" w:hAnsi="Calibri" w:cs="Calibri"/>
        </w:rPr>
        <w:t xml:space="preserve"> dokončena</w:t>
      </w:r>
      <w:r>
        <w:rPr>
          <w:rFonts w:ascii="Calibri" w:hAnsi="Calibri" w:cs="Calibri"/>
        </w:rPr>
        <w:t xml:space="preserve"> předána jako celek</w:t>
      </w:r>
      <w:r w:rsidR="00605BB8">
        <w:rPr>
          <w:rFonts w:ascii="Calibri" w:hAnsi="Calibri" w:cs="Calibri"/>
        </w:rPr>
        <w:t xml:space="preserve">, předčasné užívání je možné </w:t>
      </w:r>
      <w:r w:rsidR="00D36BBD">
        <w:rPr>
          <w:rFonts w:ascii="Calibri" w:hAnsi="Calibri" w:cs="Calibri"/>
        </w:rPr>
        <w:t>v rámci jednotlivých etap a to z důvodu zajištění obslužnosti území.</w:t>
      </w:r>
    </w:p>
    <w:p w:rsidR="00907468" w:rsidRPr="00E00595" w:rsidRDefault="00907468" w:rsidP="00E00595">
      <w:pPr>
        <w:spacing w:line="360" w:lineRule="auto"/>
        <w:jc w:val="both"/>
        <w:rPr>
          <w:rFonts w:ascii="Calibri" w:hAnsi="Calibri" w:cs="Calibri"/>
        </w:rPr>
      </w:pPr>
    </w:p>
    <w:p w:rsidR="006545E5" w:rsidRPr="001D63CE" w:rsidRDefault="006545E5" w:rsidP="001D63CE">
      <w:pPr>
        <w:pStyle w:val="Nadpis1"/>
        <w:numPr>
          <w:ilvl w:val="2"/>
          <w:numId w:val="32"/>
        </w:numPr>
        <w:spacing w:before="0" w:after="0" w:line="360" w:lineRule="auto"/>
        <w:ind w:left="567" w:hanging="283"/>
        <w:rPr>
          <w:rFonts w:ascii="Calibri" w:hAnsi="Calibri"/>
          <w:color w:val="7F7F7F"/>
          <w:sz w:val="20"/>
          <w:szCs w:val="20"/>
        </w:rPr>
      </w:pPr>
      <w:bookmarkStart w:id="31" w:name="_Toc27300979"/>
      <w:r w:rsidRPr="001D63CE">
        <w:rPr>
          <w:rFonts w:ascii="Calibri" w:hAnsi="Calibri"/>
          <w:color w:val="7F7F7F"/>
          <w:sz w:val="20"/>
          <w:szCs w:val="20"/>
        </w:rPr>
        <w:t>Orientační náklady stavby</w:t>
      </w:r>
      <w:bookmarkEnd w:id="31"/>
    </w:p>
    <w:p w:rsidR="00BE5934" w:rsidRDefault="00C9682F" w:rsidP="00942DA7">
      <w:pPr>
        <w:spacing w:line="360" w:lineRule="auto"/>
        <w:rPr>
          <w:rFonts w:ascii="Calibri" w:hAnsi="Calibri" w:cs="Times New Roman"/>
          <w:bCs/>
          <w:kern w:val="32"/>
        </w:rPr>
      </w:pPr>
      <w:r>
        <w:rPr>
          <w:rFonts w:ascii="Calibri" w:hAnsi="Calibri" w:cs="Times New Roman"/>
          <w:bCs/>
          <w:kern w:val="32"/>
        </w:rPr>
        <w:t xml:space="preserve">Celková </w:t>
      </w:r>
      <w:r w:rsidR="00F004F9" w:rsidRPr="00F004F9">
        <w:rPr>
          <w:rFonts w:ascii="Calibri" w:hAnsi="Calibri" w:cs="Times New Roman"/>
          <w:bCs/>
          <w:kern w:val="32"/>
        </w:rPr>
        <w:t xml:space="preserve">cena je </w:t>
      </w:r>
      <w:r>
        <w:rPr>
          <w:rFonts w:ascii="Calibri" w:hAnsi="Calibri" w:cs="Times New Roman"/>
          <w:bCs/>
          <w:kern w:val="32"/>
        </w:rPr>
        <w:t xml:space="preserve">cca </w:t>
      </w:r>
      <w:r w:rsidR="00AF1B94">
        <w:rPr>
          <w:rFonts w:ascii="Calibri" w:hAnsi="Calibri" w:cs="Times New Roman"/>
          <w:bCs/>
          <w:kern w:val="32"/>
        </w:rPr>
        <w:t>12</w:t>
      </w:r>
      <w:r w:rsidR="00D14697">
        <w:rPr>
          <w:rFonts w:ascii="Calibri" w:hAnsi="Calibri" w:cs="Times New Roman"/>
          <w:bCs/>
          <w:kern w:val="32"/>
        </w:rPr>
        <w:t>.000.000</w:t>
      </w:r>
      <w:r w:rsidR="00F004F9" w:rsidRPr="00F004F9">
        <w:rPr>
          <w:rFonts w:ascii="Calibri" w:hAnsi="Calibri" w:cs="Times New Roman"/>
          <w:bCs/>
          <w:kern w:val="32"/>
        </w:rPr>
        <w:t>,</w:t>
      </w:r>
      <w:r w:rsidR="00327DCF">
        <w:rPr>
          <w:rFonts w:ascii="Calibri" w:hAnsi="Calibri" w:cs="Times New Roman"/>
          <w:bCs/>
          <w:kern w:val="32"/>
        </w:rPr>
        <w:t>-</w:t>
      </w:r>
      <w:r w:rsidR="00F004F9" w:rsidRPr="00F004F9">
        <w:rPr>
          <w:rFonts w:ascii="Calibri" w:hAnsi="Calibri" w:cs="Times New Roman"/>
          <w:bCs/>
          <w:kern w:val="32"/>
        </w:rPr>
        <w:t>- Kč</w:t>
      </w:r>
      <w:r>
        <w:rPr>
          <w:rFonts w:ascii="Calibri" w:hAnsi="Calibri" w:cs="Times New Roman"/>
          <w:bCs/>
          <w:kern w:val="32"/>
        </w:rPr>
        <w:t xml:space="preserve"> </w:t>
      </w:r>
      <w:r w:rsidR="008B23DE">
        <w:rPr>
          <w:rFonts w:ascii="Calibri" w:hAnsi="Calibri" w:cs="Times New Roman"/>
          <w:bCs/>
          <w:kern w:val="32"/>
        </w:rPr>
        <w:t>s DPH.</w:t>
      </w:r>
    </w:p>
    <w:p w:rsidR="00907468" w:rsidRPr="00F004F9" w:rsidRDefault="00907468" w:rsidP="00942DA7">
      <w:pPr>
        <w:spacing w:line="360" w:lineRule="auto"/>
        <w:rPr>
          <w:rFonts w:ascii="Calibri" w:hAnsi="Calibri" w:cs="Times New Roman"/>
          <w:bCs/>
          <w:kern w:val="32"/>
        </w:rPr>
      </w:pPr>
    </w:p>
    <w:p w:rsidR="00002B4E" w:rsidRPr="006179DE" w:rsidRDefault="00002B4E" w:rsidP="00942DA7">
      <w:pPr>
        <w:pStyle w:val="Nadpis1"/>
        <w:numPr>
          <w:ilvl w:val="1"/>
          <w:numId w:val="3"/>
        </w:numPr>
        <w:spacing w:before="0" w:after="0" w:line="360" w:lineRule="auto"/>
        <w:ind w:left="426" w:hanging="426"/>
        <w:rPr>
          <w:rFonts w:ascii="Calibri" w:hAnsi="Calibri" w:cs="Calibri"/>
          <w:color w:val="808080"/>
          <w:sz w:val="20"/>
          <w:szCs w:val="20"/>
        </w:rPr>
      </w:pPr>
      <w:bookmarkStart w:id="32" w:name="_Toc27300980"/>
      <w:r w:rsidRPr="006179DE">
        <w:rPr>
          <w:rFonts w:ascii="Calibri" w:hAnsi="Calibri" w:cs="Calibri"/>
          <w:color w:val="808080"/>
          <w:sz w:val="20"/>
          <w:szCs w:val="20"/>
        </w:rPr>
        <w:t>Celkové urbanistické a architektonické řešení</w:t>
      </w:r>
      <w:bookmarkEnd w:id="32"/>
    </w:p>
    <w:p w:rsidR="00002B4E" w:rsidRPr="006179DE" w:rsidRDefault="00002B4E" w:rsidP="00942DA7">
      <w:pPr>
        <w:pStyle w:val="Nadpis1"/>
        <w:numPr>
          <w:ilvl w:val="2"/>
          <w:numId w:val="4"/>
        </w:numPr>
        <w:spacing w:before="0" w:after="0" w:line="360" w:lineRule="auto"/>
        <w:ind w:left="567" w:hanging="283"/>
        <w:rPr>
          <w:rFonts w:ascii="Calibri" w:hAnsi="Calibri"/>
          <w:b w:val="0"/>
          <w:i/>
          <w:sz w:val="20"/>
          <w:szCs w:val="20"/>
        </w:rPr>
      </w:pPr>
      <w:bookmarkStart w:id="33" w:name="_Toc27300981"/>
      <w:r w:rsidRPr="006179DE">
        <w:rPr>
          <w:rFonts w:ascii="Calibri" w:hAnsi="Calibri"/>
          <w:b w:val="0"/>
          <w:i/>
          <w:sz w:val="20"/>
          <w:szCs w:val="20"/>
        </w:rPr>
        <w:t>Urbanismus – územní regulace, kompozice prostorového řešení</w:t>
      </w:r>
      <w:bookmarkEnd w:id="33"/>
    </w:p>
    <w:p w:rsidR="00F004F9" w:rsidRDefault="00D14697" w:rsidP="00942DA7">
      <w:pPr>
        <w:spacing w:line="360" w:lineRule="auto"/>
        <w:jc w:val="both"/>
        <w:rPr>
          <w:rFonts w:ascii="Calibri" w:hAnsi="Calibri"/>
        </w:rPr>
      </w:pPr>
      <w:r>
        <w:rPr>
          <w:rFonts w:ascii="Calibri" w:hAnsi="Calibri"/>
        </w:rPr>
        <w:t>Netýká se stavby.</w:t>
      </w:r>
    </w:p>
    <w:p w:rsidR="00907468" w:rsidRPr="00C462AC" w:rsidRDefault="00907468" w:rsidP="00942DA7">
      <w:pPr>
        <w:spacing w:line="360" w:lineRule="auto"/>
        <w:jc w:val="both"/>
        <w:rPr>
          <w:rFonts w:ascii="Calibri" w:hAnsi="Calibri"/>
        </w:rPr>
      </w:pPr>
    </w:p>
    <w:p w:rsidR="00002B4E" w:rsidRPr="006179DE" w:rsidRDefault="00002B4E" w:rsidP="00942DA7">
      <w:pPr>
        <w:pStyle w:val="Nadpis1"/>
        <w:numPr>
          <w:ilvl w:val="2"/>
          <w:numId w:val="4"/>
        </w:numPr>
        <w:spacing w:before="0" w:after="0" w:line="360" w:lineRule="auto"/>
        <w:ind w:left="567" w:hanging="283"/>
        <w:rPr>
          <w:rFonts w:ascii="Calibri" w:hAnsi="Calibri"/>
          <w:b w:val="0"/>
          <w:i/>
          <w:sz w:val="20"/>
          <w:szCs w:val="20"/>
        </w:rPr>
      </w:pPr>
      <w:bookmarkStart w:id="34" w:name="_Toc27300982"/>
      <w:r w:rsidRPr="006179DE">
        <w:rPr>
          <w:rFonts w:ascii="Calibri" w:hAnsi="Calibri"/>
          <w:b w:val="0"/>
          <w:i/>
          <w:sz w:val="20"/>
          <w:szCs w:val="20"/>
        </w:rPr>
        <w:t>Architektonické řešení – kompozice tvarového řešení, materiálové a barevné řešení</w:t>
      </w:r>
      <w:bookmarkEnd w:id="34"/>
    </w:p>
    <w:p w:rsidR="00C03E28" w:rsidRDefault="00D14697" w:rsidP="00942DA7">
      <w:pPr>
        <w:spacing w:line="360" w:lineRule="auto"/>
        <w:jc w:val="both"/>
        <w:rPr>
          <w:rFonts w:ascii="Calibri" w:hAnsi="Calibri"/>
        </w:rPr>
      </w:pPr>
      <w:r>
        <w:rPr>
          <w:rFonts w:ascii="Calibri" w:hAnsi="Calibri"/>
        </w:rPr>
        <w:t xml:space="preserve">Beze změny. </w:t>
      </w:r>
      <w:r w:rsidR="00C03E28">
        <w:rPr>
          <w:rFonts w:ascii="Calibri" w:hAnsi="Calibri"/>
        </w:rPr>
        <w:t>Prvky pro osoby se sníženou schopností pohybu a orientace – červená dlažba reliéfní</w:t>
      </w:r>
    </w:p>
    <w:p w:rsidR="00907468" w:rsidRPr="006179DE" w:rsidRDefault="00907468" w:rsidP="00942DA7">
      <w:pPr>
        <w:spacing w:line="360" w:lineRule="auto"/>
        <w:jc w:val="both"/>
        <w:rPr>
          <w:rFonts w:ascii="Calibri" w:hAnsi="Calibri"/>
        </w:rPr>
      </w:pPr>
    </w:p>
    <w:p w:rsidR="00002B4E" w:rsidRDefault="009F493E" w:rsidP="00942DA7">
      <w:pPr>
        <w:pStyle w:val="Nadpis1"/>
        <w:numPr>
          <w:ilvl w:val="1"/>
          <w:numId w:val="3"/>
        </w:numPr>
        <w:spacing w:before="0" w:after="0" w:line="360" w:lineRule="auto"/>
        <w:ind w:left="426" w:hanging="426"/>
        <w:rPr>
          <w:rFonts w:ascii="Calibri" w:hAnsi="Calibri" w:cs="Calibri"/>
          <w:color w:val="808080"/>
          <w:sz w:val="20"/>
          <w:szCs w:val="20"/>
        </w:rPr>
      </w:pPr>
      <w:bookmarkStart w:id="35" w:name="_Toc27300983"/>
      <w:r>
        <w:rPr>
          <w:rFonts w:ascii="Calibri" w:hAnsi="Calibri" w:cs="Calibri"/>
          <w:color w:val="808080"/>
          <w:sz w:val="20"/>
          <w:szCs w:val="20"/>
        </w:rPr>
        <w:t>Celkové technické řešení</w:t>
      </w:r>
      <w:bookmarkEnd w:id="35"/>
    </w:p>
    <w:p w:rsidR="009F493E" w:rsidRPr="009F493E" w:rsidRDefault="009F493E" w:rsidP="00942DA7">
      <w:pPr>
        <w:numPr>
          <w:ilvl w:val="0"/>
          <w:numId w:val="18"/>
        </w:numPr>
        <w:spacing w:line="360" w:lineRule="auto"/>
      </w:pPr>
      <w:r w:rsidRPr="009F493E">
        <w:rPr>
          <w:rFonts w:ascii="Calibri" w:hAnsi="Calibri" w:cs="Times New Roman"/>
          <w:b/>
          <w:bCs/>
          <w:color w:val="7F7F7F"/>
          <w:kern w:val="32"/>
        </w:rPr>
        <w:t>Popis celkové koncepce</w:t>
      </w:r>
      <w:r>
        <w:rPr>
          <w:rFonts w:ascii="Calibri" w:hAnsi="Calibri" w:cs="Times New Roman"/>
          <w:b/>
          <w:bCs/>
          <w:color w:val="7F7F7F"/>
          <w:kern w:val="32"/>
        </w:rPr>
        <w:t xml:space="preserve"> technického řešení</w:t>
      </w:r>
    </w:p>
    <w:p w:rsidR="00907468" w:rsidRDefault="001E6E4A" w:rsidP="00196FE1">
      <w:pPr>
        <w:spacing w:line="360" w:lineRule="auto"/>
        <w:jc w:val="both"/>
        <w:rPr>
          <w:rFonts w:ascii="Calibri" w:hAnsi="Calibri"/>
        </w:rPr>
      </w:pPr>
      <w:r>
        <w:rPr>
          <w:rFonts w:ascii="Calibri" w:hAnsi="Calibri"/>
        </w:rPr>
        <w:t xml:space="preserve">Beze změny, jedná se o obnovu zpevněných ploch bez polohopisných změn. Bez nových dopravních a jiných omezení. </w:t>
      </w:r>
    </w:p>
    <w:p w:rsidR="001E6E4A" w:rsidRDefault="001E6E4A" w:rsidP="00196FE1">
      <w:pPr>
        <w:spacing w:line="360" w:lineRule="auto"/>
        <w:jc w:val="both"/>
        <w:rPr>
          <w:rFonts w:ascii="Calibri" w:hAnsi="Calibri" w:cs="Calibri"/>
        </w:rPr>
      </w:pPr>
    </w:p>
    <w:p w:rsidR="009F493E" w:rsidRPr="005C402E" w:rsidRDefault="009F493E" w:rsidP="00942DA7">
      <w:pPr>
        <w:numPr>
          <w:ilvl w:val="0"/>
          <w:numId w:val="18"/>
        </w:numPr>
        <w:spacing w:line="360" w:lineRule="auto"/>
        <w:rPr>
          <w:rFonts w:ascii="Calibri" w:hAnsi="Calibri" w:cs="Times New Roman"/>
          <w:b/>
          <w:bCs/>
          <w:color w:val="7F7F7F"/>
          <w:kern w:val="32"/>
        </w:rPr>
      </w:pPr>
      <w:r w:rsidRPr="005C402E">
        <w:rPr>
          <w:rFonts w:ascii="Calibri" w:hAnsi="Calibri" w:cs="Times New Roman"/>
          <w:b/>
          <w:bCs/>
          <w:color w:val="7F7F7F"/>
          <w:kern w:val="32"/>
        </w:rPr>
        <w:t xml:space="preserve">Celková bilance </w:t>
      </w:r>
      <w:r w:rsidR="005C402E" w:rsidRPr="005C402E">
        <w:rPr>
          <w:rFonts w:ascii="Calibri" w:hAnsi="Calibri" w:cs="Times New Roman"/>
          <w:b/>
          <w:bCs/>
          <w:color w:val="7F7F7F"/>
          <w:kern w:val="32"/>
        </w:rPr>
        <w:t>nároků všech druhů energií, tepla a teplé užitkové vody</w:t>
      </w:r>
    </w:p>
    <w:p w:rsidR="005C402E" w:rsidRDefault="004B6BBF" w:rsidP="00942DA7">
      <w:pPr>
        <w:spacing w:line="360" w:lineRule="auto"/>
        <w:jc w:val="both"/>
        <w:rPr>
          <w:rFonts w:ascii="Calibri" w:hAnsi="Calibri"/>
        </w:rPr>
      </w:pPr>
      <w:r>
        <w:rPr>
          <w:rFonts w:ascii="Calibri" w:hAnsi="Calibri"/>
        </w:rPr>
        <w:t>Nevznikají nároky</w:t>
      </w:r>
      <w:r w:rsidR="005C402E">
        <w:rPr>
          <w:rFonts w:ascii="Calibri" w:hAnsi="Calibri"/>
        </w:rPr>
        <w:t>.</w:t>
      </w:r>
    </w:p>
    <w:p w:rsidR="00907468" w:rsidRDefault="00907468" w:rsidP="00942DA7">
      <w:pPr>
        <w:spacing w:line="360" w:lineRule="auto"/>
        <w:jc w:val="both"/>
        <w:rPr>
          <w:rFonts w:ascii="Calibri" w:hAnsi="Calibri"/>
        </w:rPr>
      </w:pPr>
    </w:p>
    <w:p w:rsidR="005C402E" w:rsidRPr="005C402E" w:rsidRDefault="005C402E" w:rsidP="00942DA7">
      <w:pPr>
        <w:numPr>
          <w:ilvl w:val="0"/>
          <w:numId w:val="18"/>
        </w:numPr>
        <w:spacing w:line="360" w:lineRule="auto"/>
        <w:rPr>
          <w:rFonts w:ascii="Calibri" w:hAnsi="Calibri" w:cs="Times New Roman"/>
          <w:b/>
          <w:bCs/>
          <w:color w:val="7F7F7F"/>
          <w:kern w:val="32"/>
        </w:rPr>
      </w:pPr>
      <w:r w:rsidRPr="005C402E">
        <w:rPr>
          <w:rFonts w:ascii="Calibri" w:hAnsi="Calibri" w:cs="Times New Roman"/>
          <w:b/>
          <w:bCs/>
          <w:color w:val="7F7F7F"/>
          <w:kern w:val="32"/>
        </w:rPr>
        <w:t>Celková spotřeba vody</w:t>
      </w:r>
    </w:p>
    <w:p w:rsidR="005C402E" w:rsidRDefault="005C402E" w:rsidP="00942DA7">
      <w:pPr>
        <w:spacing w:line="360" w:lineRule="auto"/>
        <w:jc w:val="both"/>
        <w:rPr>
          <w:rFonts w:ascii="Calibri" w:hAnsi="Calibri"/>
        </w:rPr>
      </w:pPr>
      <w:r>
        <w:rPr>
          <w:rFonts w:ascii="Calibri" w:hAnsi="Calibri"/>
        </w:rPr>
        <w:t>Není řešeno</w:t>
      </w:r>
    </w:p>
    <w:p w:rsidR="00907468" w:rsidRDefault="00907468" w:rsidP="00942DA7">
      <w:pPr>
        <w:spacing w:line="360" w:lineRule="auto"/>
        <w:jc w:val="both"/>
        <w:rPr>
          <w:rFonts w:ascii="Calibri" w:hAnsi="Calibri"/>
        </w:rPr>
      </w:pPr>
    </w:p>
    <w:p w:rsidR="005C402E" w:rsidRPr="005C402E" w:rsidRDefault="005C402E" w:rsidP="00942DA7">
      <w:pPr>
        <w:numPr>
          <w:ilvl w:val="0"/>
          <w:numId w:val="18"/>
        </w:numPr>
        <w:spacing w:line="360" w:lineRule="auto"/>
        <w:rPr>
          <w:rFonts w:ascii="Calibri" w:hAnsi="Calibri" w:cs="Times New Roman"/>
          <w:b/>
          <w:bCs/>
          <w:color w:val="7F7F7F"/>
          <w:kern w:val="32"/>
        </w:rPr>
      </w:pPr>
      <w:r w:rsidRPr="005C402E">
        <w:rPr>
          <w:rFonts w:ascii="Calibri" w:hAnsi="Calibri" w:cs="Times New Roman"/>
          <w:b/>
          <w:bCs/>
          <w:color w:val="7F7F7F"/>
          <w:kern w:val="32"/>
        </w:rPr>
        <w:t>Celkové produkované množství a druhy odpadů a emisí, způsob nakládání s vyzískaným materiálem</w:t>
      </w:r>
    </w:p>
    <w:p w:rsidR="005C402E" w:rsidRPr="006E5183" w:rsidRDefault="005C402E" w:rsidP="00942DA7">
      <w:pPr>
        <w:widowControl w:val="0"/>
        <w:spacing w:line="360" w:lineRule="auto"/>
        <w:jc w:val="both"/>
        <w:rPr>
          <w:rFonts w:ascii="Calibri" w:hAnsi="Calibri"/>
        </w:rPr>
      </w:pPr>
      <w:r w:rsidRPr="006E5183">
        <w:rPr>
          <w:rFonts w:ascii="Calibri" w:hAnsi="Calibri"/>
        </w:rPr>
        <w:t xml:space="preserve">Vzhledem k charakteru stavby bude produkce odpadů minimální. Odpady vzniklé při servisní činnosti popřípadě opravách budou řešeny v rámci smluvního stavu s dodavatelem prací coby původcem odpadů. </w:t>
      </w:r>
    </w:p>
    <w:p w:rsidR="005C402E" w:rsidRDefault="005C402E" w:rsidP="00942DA7">
      <w:pPr>
        <w:pStyle w:val="Zkladntext31"/>
        <w:spacing w:line="360" w:lineRule="auto"/>
        <w:jc w:val="both"/>
        <w:rPr>
          <w:rFonts w:ascii="Calibri" w:hAnsi="Calibri" w:cs="Tahoma"/>
          <w:spacing w:val="0"/>
          <w:sz w:val="20"/>
        </w:rPr>
      </w:pPr>
      <w:r w:rsidRPr="006E5183">
        <w:rPr>
          <w:rFonts w:ascii="Calibri" w:hAnsi="Calibri" w:cs="Tahoma"/>
          <w:spacing w:val="0"/>
          <w:sz w:val="20"/>
        </w:rPr>
        <w:t xml:space="preserve">Původce odpadů bude dle povinností uvedených v zákoně </w:t>
      </w:r>
      <w:r w:rsidRPr="00B20EAB">
        <w:rPr>
          <w:rFonts w:ascii="Calibri" w:hAnsi="Calibri" w:cs="Tahoma"/>
          <w:b/>
          <w:spacing w:val="0"/>
          <w:sz w:val="20"/>
        </w:rPr>
        <w:t xml:space="preserve">č. </w:t>
      </w:r>
      <w:r w:rsidR="000866FC" w:rsidRPr="00B20EAB">
        <w:rPr>
          <w:rFonts w:ascii="Calibri" w:hAnsi="Calibri" w:cs="Tahoma"/>
          <w:b/>
          <w:spacing w:val="0"/>
          <w:sz w:val="20"/>
        </w:rPr>
        <w:t>541/2020</w:t>
      </w:r>
      <w:r w:rsidRPr="00B20EAB">
        <w:rPr>
          <w:rFonts w:ascii="Calibri" w:hAnsi="Calibri" w:cs="Tahoma"/>
          <w:b/>
          <w:spacing w:val="0"/>
          <w:sz w:val="20"/>
        </w:rPr>
        <w:t xml:space="preserve"> Sb.</w:t>
      </w:r>
      <w:r w:rsidRPr="006E5183">
        <w:rPr>
          <w:rFonts w:ascii="Calibri" w:hAnsi="Calibri" w:cs="Tahoma"/>
          <w:spacing w:val="0"/>
          <w:sz w:val="20"/>
        </w:rPr>
        <w:t xml:space="preserve"> odpady zařazovat podle druhů a kategorií stanovených v Katalogu odpadů (vyhlášky </w:t>
      </w:r>
      <w:r w:rsidRPr="00B20EAB">
        <w:rPr>
          <w:rFonts w:ascii="Calibri" w:hAnsi="Calibri" w:cs="Tahoma"/>
          <w:b/>
          <w:spacing w:val="0"/>
          <w:sz w:val="20"/>
        </w:rPr>
        <w:t xml:space="preserve">MŽP č. </w:t>
      </w:r>
      <w:r w:rsidR="0035717F" w:rsidRPr="00B20EAB">
        <w:rPr>
          <w:rFonts w:ascii="Calibri" w:hAnsi="Calibri" w:cs="Tahoma"/>
          <w:b/>
          <w:spacing w:val="0"/>
          <w:sz w:val="20"/>
        </w:rPr>
        <w:t>8</w:t>
      </w:r>
      <w:r w:rsidRPr="00B20EAB">
        <w:rPr>
          <w:rFonts w:ascii="Calibri" w:hAnsi="Calibri" w:cs="Tahoma"/>
          <w:b/>
          <w:spacing w:val="0"/>
          <w:sz w:val="20"/>
        </w:rPr>
        <w:t>/20</w:t>
      </w:r>
      <w:r w:rsidR="0035717F" w:rsidRPr="00B20EAB">
        <w:rPr>
          <w:rFonts w:ascii="Calibri" w:hAnsi="Calibri" w:cs="Tahoma"/>
          <w:b/>
          <w:spacing w:val="0"/>
          <w:sz w:val="20"/>
        </w:rPr>
        <w:t>21</w:t>
      </w:r>
      <w:r w:rsidRPr="00B20EAB">
        <w:rPr>
          <w:rFonts w:ascii="Calibri" w:hAnsi="Calibri" w:cs="Tahoma"/>
          <w:b/>
          <w:spacing w:val="0"/>
          <w:sz w:val="20"/>
        </w:rPr>
        <w:t xml:space="preserve"> Sb.</w:t>
      </w:r>
      <w:r w:rsidRPr="006E5183">
        <w:rPr>
          <w:rFonts w:ascii="Calibri" w:hAnsi="Calibri" w:cs="Tahoma"/>
          <w:spacing w:val="0"/>
          <w:sz w:val="20"/>
        </w:rPr>
        <w:t>),</w:t>
      </w:r>
      <w:r w:rsidR="0035717F">
        <w:rPr>
          <w:rFonts w:ascii="Calibri" w:hAnsi="Calibri" w:cs="Tahoma"/>
          <w:spacing w:val="0"/>
          <w:sz w:val="20"/>
        </w:rPr>
        <w:t xml:space="preserve"> dále o podrobnostech nakládání s odpady dle vyhlášky </w:t>
      </w:r>
      <w:r w:rsidR="0035717F" w:rsidRPr="00B20EAB">
        <w:rPr>
          <w:rFonts w:ascii="Calibri" w:hAnsi="Calibri" w:cs="Tahoma"/>
          <w:b/>
          <w:spacing w:val="0"/>
          <w:sz w:val="20"/>
        </w:rPr>
        <w:t>č. 273/2021 Sb.</w:t>
      </w:r>
      <w:r w:rsidRPr="006E5183">
        <w:rPr>
          <w:rFonts w:ascii="Calibri" w:hAnsi="Calibri" w:cs="Tahoma"/>
          <w:spacing w:val="0"/>
          <w:sz w:val="20"/>
        </w:rPr>
        <w:t xml:space="preserve"> </w:t>
      </w:r>
      <w:r w:rsidR="0035717F">
        <w:rPr>
          <w:rFonts w:ascii="Calibri" w:hAnsi="Calibri" w:cs="Tahoma"/>
          <w:spacing w:val="0"/>
          <w:sz w:val="20"/>
        </w:rPr>
        <w:t xml:space="preserve">U výrobků s ukončenou životností – akumulátory, elektrozařízení, pneumatiky bude nakládáno v souladu se zákonem </w:t>
      </w:r>
      <w:r w:rsidR="0035717F" w:rsidRPr="00B20EAB">
        <w:rPr>
          <w:rFonts w:ascii="Calibri" w:hAnsi="Calibri" w:cs="Tahoma"/>
          <w:b/>
          <w:spacing w:val="0"/>
          <w:sz w:val="20"/>
        </w:rPr>
        <w:t>č. 542/2020 Sb.</w:t>
      </w:r>
      <w:r w:rsidR="0035717F">
        <w:rPr>
          <w:rFonts w:ascii="Calibri" w:hAnsi="Calibri" w:cs="Tahoma"/>
          <w:spacing w:val="0"/>
          <w:sz w:val="20"/>
        </w:rPr>
        <w:t xml:space="preserve"> V</w:t>
      </w:r>
      <w:r w:rsidRPr="006E5183">
        <w:rPr>
          <w:rFonts w:ascii="Calibri" w:hAnsi="Calibri" w:cs="Tahoma"/>
          <w:spacing w:val="0"/>
          <w:sz w:val="20"/>
        </w:rPr>
        <w:t xml:space="preserve">zniklé odpady které nemůže sám využít, trvale nabízet k využití jiné právnické nebo fyzické osobě, nelze-li odpady využít, zajistí jejich odstranění, kontrolovat nebezpečné vlastnosti odpadů a nakládat s nimi podle jejich skutečných vlastností, shromažďovat utříděné podle druhů a kategorií, zabezpečí je před nežádoucím znehodnocením, odcizením nebo únikem </w:t>
      </w:r>
      <w:r w:rsidRPr="006E5183">
        <w:rPr>
          <w:rFonts w:ascii="Calibri" w:hAnsi="Calibri" w:cs="Tahoma"/>
          <w:spacing w:val="0"/>
          <w:sz w:val="20"/>
        </w:rPr>
        <w:lastRenderedPageBreak/>
        <w:t>ohrožujícím životní prostředí a na vyžádání předloží dokumentaci a bude poskytovat úplné informace související s odpadovým hospodářstvím. Odvoz a odstraňování odpadů bude smluvně zajištěno odbornou firmou</w:t>
      </w:r>
      <w:r>
        <w:rPr>
          <w:rFonts w:ascii="Calibri" w:hAnsi="Calibri" w:cs="Tahoma"/>
          <w:spacing w:val="0"/>
          <w:sz w:val="20"/>
        </w:rPr>
        <w:t>.</w:t>
      </w:r>
    </w:p>
    <w:p w:rsidR="00907468" w:rsidRDefault="00907468" w:rsidP="00942DA7">
      <w:pPr>
        <w:pStyle w:val="Zkladntext31"/>
        <w:spacing w:line="360" w:lineRule="auto"/>
        <w:jc w:val="both"/>
        <w:rPr>
          <w:rFonts w:ascii="Calibri" w:hAnsi="Calibri" w:cs="Tahoma"/>
          <w:spacing w:val="0"/>
          <w:sz w:val="20"/>
        </w:rPr>
      </w:pPr>
    </w:p>
    <w:p w:rsidR="005C402E" w:rsidRPr="005C402E" w:rsidRDefault="005C402E" w:rsidP="00942DA7">
      <w:pPr>
        <w:numPr>
          <w:ilvl w:val="0"/>
          <w:numId w:val="18"/>
        </w:numPr>
        <w:spacing w:line="360" w:lineRule="auto"/>
        <w:rPr>
          <w:rFonts w:ascii="Calibri" w:hAnsi="Calibri" w:cs="Times New Roman"/>
          <w:b/>
          <w:bCs/>
          <w:color w:val="7F7F7F"/>
          <w:kern w:val="32"/>
        </w:rPr>
      </w:pPr>
      <w:r w:rsidRPr="005C402E">
        <w:rPr>
          <w:rFonts w:ascii="Calibri" w:hAnsi="Calibri" w:cs="Times New Roman"/>
          <w:b/>
          <w:bCs/>
          <w:color w:val="7F7F7F"/>
          <w:kern w:val="32"/>
        </w:rPr>
        <w:t>Požadavky na kapacity veřejných sítí komunikačních vedení a elektronického komunikačního zařízení veřejné komunikační sítě.</w:t>
      </w:r>
    </w:p>
    <w:p w:rsidR="005C402E" w:rsidRDefault="00942DA7" w:rsidP="00942DA7">
      <w:pPr>
        <w:spacing w:line="360" w:lineRule="auto"/>
        <w:jc w:val="both"/>
        <w:rPr>
          <w:rFonts w:ascii="Calibri" w:hAnsi="Calibri"/>
        </w:rPr>
      </w:pPr>
      <w:r>
        <w:rPr>
          <w:rFonts w:ascii="Calibri" w:hAnsi="Calibri"/>
        </w:rPr>
        <w:t>Není řešeno.</w:t>
      </w:r>
    </w:p>
    <w:p w:rsidR="00CE3C72" w:rsidRDefault="00CE3C72" w:rsidP="00942DA7">
      <w:pPr>
        <w:spacing w:line="360" w:lineRule="auto"/>
        <w:jc w:val="both"/>
        <w:rPr>
          <w:rFonts w:ascii="Calibri" w:hAnsi="Calibri"/>
        </w:rPr>
      </w:pPr>
    </w:p>
    <w:p w:rsidR="00002B4E" w:rsidRDefault="00002B4E" w:rsidP="00942DA7">
      <w:pPr>
        <w:pStyle w:val="Nadpis1"/>
        <w:numPr>
          <w:ilvl w:val="1"/>
          <w:numId w:val="3"/>
        </w:numPr>
        <w:spacing w:before="0" w:after="0" w:line="360" w:lineRule="auto"/>
        <w:ind w:left="426" w:hanging="426"/>
        <w:rPr>
          <w:rFonts w:ascii="Calibri" w:hAnsi="Calibri" w:cs="Calibri"/>
          <w:color w:val="808080"/>
          <w:sz w:val="20"/>
          <w:szCs w:val="20"/>
        </w:rPr>
      </w:pPr>
      <w:bookmarkStart w:id="36" w:name="_Toc27300984"/>
      <w:r w:rsidRPr="006179DE">
        <w:rPr>
          <w:rFonts w:ascii="Calibri" w:hAnsi="Calibri" w:cs="Calibri"/>
          <w:color w:val="808080"/>
          <w:sz w:val="20"/>
          <w:szCs w:val="20"/>
        </w:rPr>
        <w:t>Bezbariérové užívání stavby</w:t>
      </w:r>
      <w:bookmarkEnd w:id="36"/>
    </w:p>
    <w:p w:rsidR="00AE1749" w:rsidRDefault="00AE1749" w:rsidP="00AE1749">
      <w:pPr>
        <w:pStyle w:val="cc"/>
        <w:spacing w:before="0" w:beforeAutospacing="0" w:after="0" w:afterAutospacing="0" w:line="360" w:lineRule="auto"/>
        <w:jc w:val="both"/>
        <w:rPr>
          <w:rFonts w:asciiTheme="minorHAnsi" w:hAnsiTheme="minorHAnsi" w:cs="Tahoma"/>
          <w:sz w:val="20"/>
          <w:szCs w:val="20"/>
        </w:rPr>
      </w:pPr>
      <w:r w:rsidRPr="00C1200E">
        <w:rPr>
          <w:rFonts w:asciiTheme="minorHAnsi" w:hAnsiTheme="minorHAnsi" w:cs="Tahoma"/>
          <w:sz w:val="20"/>
          <w:szCs w:val="20"/>
        </w:rPr>
        <w:t xml:space="preserve">Bezbariérové řešení bude provedeno dle vyhlášky 398/2009 Sb. „O obecných technických požadavcích zabezpečujících bezbariérové užívání staveb“. </w:t>
      </w:r>
      <w:r>
        <w:rPr>
          <w:rFonts w:asciiTheme="minorHAnsi" w:hAnsiTheme="minorHAnsi" w:cs="Tahoma"/>
          <w:sz w:val="20"/>
          <w:szCs w:val="20"/>
        </w:rPr>
        <w:t>Grafické znázornění je v příloze „Vzorové řezy + detaily“.</w:t>
      </w:r>
    </w:p>
    <w:p w:rsidR="00D45365" w:rsidRPr="00D45365" w:rsidRDefault="00D45365" w:rsidP="00D45365">
      <w:pPr>
        <w:spacing w:line="360" w:lineRule="auto"/>
        <w:jc w:val="both"/>
        <w:rPr>
          <w:rFonts w:asciiTheme="minorHAnsi" w:hAnsiTheme="minorHAnsi"/>
        </w:rPr>
      </w:pPr>
      <w:r w:rsidRPr="00D45365">
        <w:rPr>
          <w:rFonts w:asciiTheme="minorHAnsi" w:hAnsiTheme="minorHAnsi"/>
        </w:rPr>
        <w:t xml:space="preserve">Varovné pásy musí být provedeny v barevném kontrastu vůči okolí. Povrch </w:t>
      </w:r>
      <w:proofErr w:type="spellStart"/>
      <w:r w:rsidRPr="00D45365">
        <w:rPr>
          <w:rFonts w:asciiTheme="minorHAnsi" w:hAnsiTheme="minorHAnsi"/>
        </w:rPr>
        <w:t>pochozí</w:t>
      </w:r>
      <w:proofErr w:type="spellEnd"/>
      <w:r w:rsidRPr="00D45365">
        <w:rPr>
          <w:rFonts w:asciiTheme="minorHAnsi" w:hAnsiTheme="minorHAnsi"/>
        </w:rPr>
        <w:t xml:space="preserve"> plochy do vzdálenosti nejméně 250mm od pásů musí být rovinný při dodržení požadavku na protiskluzné vlastnosti. </w:t>
      </w:r>
    </w:p>
    <w:p w:rsidR="00D45365" w:rsidRDefault="00D45365" w:rsidP="00D45365">
      <w:pPr>
        <w:spacing w:line="360" w:lineRule="auto"/>
        <w:jc w:val="both"/>
        <w:rPr>
          <w:rFonts w:asciiTheme="minorHAnsi" w:hAnsiTheme="minorHAnsi"/>
        </w:rPr>
      </w:pPr>
      <w:r w:rsidRPr="00D45365">
        <w:rPr>
          <w:rFonts w:asciiTheme="minorHAnsi" w:hAnsiTheme="minorHAnsi"/>
        </w:rPr>
        <w:t xml:space="preserve">Všechny použité výrobky pro bezbariérové úpravy pro osoby s omezenou schopností pohybu a orientace musí odpovídat technickým předpisům, včetně dodržení barevného kontrastu od </w:t>
      </w:r>
      <w:proofErr w:type="spellStart"/>
      <w:r w:rsidRPr="00D45365">
        <w:rPr>
          <w:rFonts w:asciiTheme="minorHAnsi" w:hAnsiTheme="minorHAnsi"/>
        </w:rPr>
        <w:t>pochozí</w:t>
      </w:r>
      <w:proofErr w:type="spellEnd"/>
      <w:r w:rsidRPr="00D45365">
        <w:rPr>
          <w:rFonts w:asciiTheme="minorHAnsi" w:hAnsiTheme="minorHAnsi"/>
        </w:rPr>
        <w:t xml:space="preserve"> plochy a musí mít Ověření o shodě výrobku dle nařízení vlády č. 163/2002 Sb. §7.</w:t>
      </w:r>
    </w:p>
    <w:p w:rsidR="00AE1749" w:rsidRDefault="00AE1749" w:rsidP="00AE1749">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V rámci projektu je řešeno:</w:t>
      </w:r>
    </w:p>
    <w:p w:rsidR="00AE1749" w:rsidRDefault="00AE1749" w:rsidP="00AE1749">
      <w:pPr>
        <w:pStyle w:val="cc"/>
        <w:spacing w:before="0" w:beforeAutospacing="0" w:after="0" w:afterAutospacing="0" w:line="360" w:lineRule="auto"/>
        <w:jc w:val="both"/>
        <w:rPr>
          <w:rFonts w:asciiTheme="minorHAnsi" w:hAnsiTheme="minorHAnsi" w:cs="Tahoma"/>
          <w:sz w:val="20"/>
          <w:szCs w:val="20"/>
        </w:rPr>
      </w:pPr>
    </w:p>
    <w:p w:rsidR="00AE1749" w:rsidRPr="003F6E5B" w:rsidRDefault="00AE1749" w:rsidP="00AE1749">
      <w:pPr>
        <w:pStyle w:val="cc"/>
        <w:spacing w:before="0" w:beforeAutospacing="0" w:after="0" w:afterAutospacing="0" w:line="360" w:lineRule="auto"/>
        <w:jc w:val="both"/>
        <w:rPr>
          <w:rFonts w:asciiTheme="minorHAnsi" w:hAnsiTheme="minorHAnsi" w:cs="Tahoma"/>
          <w:sz w:val="20"/>
          <w:szCs w:val="20"/>
          <w:u w:val="single"/>
        </w:rPr>
      </w:pPr>
      <w:r>
        <w:rPr>
          <w:rFonts w:asciiTheme="minorHAnsi" w:hAnsiTheme="minorHAnsi" w:cs="Tahoma"/>
          <w:sz w:val="20"/>
          <w:szCs w:val="20"/>
          <w:u w:val="single"/>
        </w:rPr>
        <w:t>Chodníky</w:t>
      </w:r>
    </w:p>
    <w:p w:rsidR="00AE1749" w:rsidRDefault="00AE1749" w:rsidP="00AE1749">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t>Jsou navrženy v příčném sklonu 0,5 – 2,0%, podélný sklon nepřevyšuje 8,33%. Šířka chodníku je min. 1,5m.</w:t>
      </w:r>
    </w:p>
    <w:p w:rsidR="00AE1749" w:rsidRDefault="00AE1749" w:rsidP="00AE1749">
      <w:pPr>
        <w:pStyle w:val="cc"/>
        <w:spacing w:before="0" w:beforeAutospacing="0" w:after="0" w:afterAutospacing="0" w:line="360" w:lineRule="auto"/>
        <w:jc w:val="both"/>
        <w:rPr>
          <w:rFonts w:asciiTheme="minorHAnsi" w:hAnsiTheme="minorHAnsi" w:cs="Tahoma"/>
          <w:sz w:val="20"/>
          <w:szCs w:val="20"/>
        </w:rPr>
      </w:pPr>
    </w:p>
    <w:p w:rsidR="00AE1749" w:rsidRPr="00261E17" w:rsidRDefault="00AE1749" w:rsidP="00AE1749">
      <w:pPr>
        <w:pStyle w:val="cc"/>
        <w:spacing w:before="0" w:beforeAutospacing="0" w:after="0" w:afterAutospacing="0" w:line="360" w:lineRule="auto"/>
        <w:jc w:val="both"/>
        <w:rPr>
          <w:rFonts w:asciiTheme="minorHAnsi" w:hAnsiTheme="minorHAnsi" w:cs="Tahoma"/>
          <w:sz w:val="20"/>
          <w:szCs w:val="20"/>
          <w:u w:val="single"/>
        </w:rPr>
      </w:pPr>
      <w:r w:rsidRPr="00261E17">
        <w:rPr>
          <w:rFonts w:asciiTheme="minorHAnsi" w:hAnsiTheme="minorHAnsi" w:cs="Tahoma"/>
          <w:sz w:val="20"/>
          <w:szCs w:val="20"/>
          <w:u w:val="single"/>
        </w:rPr>
        <w:t>Přechod pro chodce</w:t>
      </w:r>
    </w:p>
    <w:p w:rsidR="00AE1749" w:rsidRDefault="00AE1749" w:rsidP="00AE1749">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t>Stávající přechod před Penny nebude řešen, bude pouze obnoveno vodorovné značení. Hmatné prvky jsou v pořádku.</w:t>
      </w:r>
    </w:p>
    <w:p w:rsidR="00AE1749" w:rsidRDefault="00AE1749" w:rsidP="00AE1749">
      <w:pPr>
        <w:pStyle w:val="cc"/>
        <w:spacing w:before="0" w:beforeAutospacing="0" w:after="0" w:afterAutospacing="0" w:line="360" w:lineRule="auto"/>
        <w:jc w:val="both"/>
        <w:rPr>
          <w:rFonts w:asciiTheme="minorHAnsi" w:hAnsiTheme="minorHAnsi" w:cs="Tahoma"/>
          <w:sz w:val="20"/>
          <w:szCs w:val="20"/>
        </w:rPr>
      </w:pPr>
    </w:p>
    <w:p w:rsidR="00AE1749" w:rsidRPr="00261E17" w:rsidRDefault="00AE1749" w:rsidP="00AE1749">
      <w:pPr>
        <w:pStyle w:val="cc"/>
        <w:spacing w:before="0" w:beforeAutospacing="0" w:after="0" w:afterAutospacing="0" w:line="360" w:lineRule="auto"/>
        <w:jc w:val="both"/>
        <w:rPr>
          <w:rFonts w:asciiTheme="minorHAnsi" w:hAnsiTheme="minorHAnsi" w:cs="Tahoma"/>
          <w:sz w:val="20"/>
          <w:szCs w:val="20"/>
          <w:u w:val="single"/>
        </w:rPr>
      </w:pPr>
      <w:r w:rsidRPr="00261E17">
        <w:rPr>
          <w:rFonts w:asciiTheme="minorHAnsi" w:hAnsiTheme="minorHAnsi" w:cs="Tahoma"/>
          <w:sz w:val="20"/>
          <w:szCs w:val="20"/>
          <w:u w:val="single"/>
        </w:rPr>
        <w:t>Místa pro přecházení</w:t>
      </w:r>
    </w:p>
    <w:p w:rsidR="00AE1749" w:rsidRDefault="00AE1749" w:rsidP="00AE1749">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t xml:space="preserve">Místa pro přecházení jsou řešeny v celém rozsahu. Nášlapy obrub jsou +2cm, podél těchto obrub jsou varovné pásy z červené reliéfní dlažby šíře 0,4m. Tyto pásy jsou v dílce celé snížené obruby až do převýšení obruby +8cm nad vozovkou. Signální pásy jsou navrženy jen v místech, kde je to fyzicky možné. Signální pásy jsou stejně jako varovné pásy navrženy z reliéfní červené dlažby. Signální pásy jsou odsazené 0,4m od varovného pásu. </w:t>
      </w:r>
    </w:p>
    <w:p w:rsidR="00AE1749" w:rsidRDefault="00AE1749" w:rsidP="00AE1749">
      <w:pPr>
        <w:pStyle w:val="cc"/>
        <w:spacing w:before="0" w:beforeAutospacing="0" w:after="0" w:afterAutospacing="0" w:line="360" w:lineRule="auto"/>
        <w:jc w:val="both"/>
        <w:rPr>
          <w:rFonts w:asciiTheme="minorHAnsi" w:hAnsiTheme="minorHAnsi" w:cs="Tahoma"/>
          <w:sz w:val="20"/>
          <w:szCs w:val="20"/>
        </w:rPr>
      </w:pPr>
    </w:p>
    <w:p w:rsidR="00AE1749" w:rsidRDefault="00AE1749" w:rsidP="00AE1749">
      <w:pPr>
        <w:pStyle w:val="cc"/>
        <w:spacing w:before="0" w:beforeAutospacing="0" w:after="0" w:afterAutospacing="0" w:line="360" w:lineRule="auto"/>
        <w:jc w:val="both"/>
        <w:rPr>
          <w:rFonts w:asciiTheme="minorHAnsi" w:hAnsiTheme="minorHAnsi" w:cs="Tahoma"/>
          <w:sz w:val="20"/>
          <w:szCs w:val="20"/>
          <w:u w:val="single"/>
        </w:rPr>
      </w:pPr>
      <w:r w:rsidRPr="00261E17">
        <w:rPr>
          <w:rFonts w:asciiTheme="minorHAnsi" w:hAnsiTheme="minorHAnsi" w:cs="Tahoma"/>
          <w:sz w:val="20"/>
          <w:szCs w:val="20"/>
          <w:u w:val="single"/>
        </w:rPr>
        <w:t>Sjezdy</w:t>
      </w:r>
    </w:p>
    <w:p w:rsidR="00AE1749" w:rsidRDefault="00AE1749" w:rsidP="00AE1749">
      <w:pPr>
        <w:pStyle w:val="cc"/>
        <w:spacing w:before="0" w:beforeAutospacing="0" w:after="0" w:afterAutospacing="0" w:line="360" w:lineRule="auto"/>
        <w:jc w:val="both"/>
        <w:rPr>
          <w:rFonts w:asciiTheme="minorHAnsi" w:hAnsiTheme="minorHAnsi" w:cs="Tahoma"/>
          <w:sz w:val="20"/>
          <w:szCs w:val="20"/>
        </w:rPr>
      </w:pPr>
      <w:r>
        <w:rPr>
          <w:rFonts w:asciiTheme="minorHAnsi" w:hAnsiTheme="minorHAnsi" w:cs="Tahoma"/>
          <w:sz w:val="20"/>
          <w:szCs w:val="20"/>
        </w:rPr>
        <w:tab/>
        <w:t xml:space="preserve">V místech sjezdů budou silniční obrubníky sníženy na výšku nášlapu + 2cm, nejvíce však + 5cm. Podél snížených obrub jsou kladeny stejně jako u jiných snížených obrub, varovné pásy v šířce 0,4m. U sjezdu, který je delší jak 8m, bude na stranu u chodníkových obrub, osazena umělá vodící linie – vroubkovaná / vlnkovitá </w:t>
      </w:r>
      <w:r>
        <w:rPr>
          <w:rFonts w:asciiTheme="minorHAnsi" w:hAnsiTheme="minorHAnsi" w:cs="Tahoma"/>
          <w:sz w:val="20"/>
          <w:szCs w:val="20"/>
        </w:rPr>
        <w:lastRenderedPageBreak/>
        <w:t>dlažba. Tento pás bude vyskládán v šíři 0,4m a slouží nevidomému k překlenutí vzdálenosti mezi chodníkovými obrubami.</w:t>
      </w:r>
    </w:p>
    <w:p w:rsidR="00AE1749" w:rsidRDefault="00AE1749" w:rsidP="00AE1749">
      <w:pPr>
        <w:pStyle w:val="cc"/>
        <w:spacing w:before="0" w:beforeAutospacing="0" w:after="0" w:afterAutospacing="0" w:line="360" w:lineRule="auto"/>
        <w:jc w:val="both"/>
        <w:rPr>
          <w:rFonts w:asciiTheme="minorHAnsi" w:hAnsiTheme="minorHAnsi" w:cs="Tahoma"/>
          <w:sz w:val="20"/>
          <w:szCs w:val="20"/>
        </w:rPr>
      </w:pPr>
    </w:p>
    <w:p w:rsidR="00AE1749" w:rsidRPr="003F6E5B" w:rsidRDefault="00AE1749" w:rsidP="00AE1749">
      <w:pPr>
        <w:pStyle w:val="cc"/>
        <w:spacing w:before="0" w:beforeAutospacing="0" w:after="0" w:afterAutospacing="0" w:line="360" w:lineRule="auto"/>
        <w:jc w:val="both"/>
        <w:rPr>
          <w:rFonts w:asciiTheme="minorHAnsi" w:hAnsiTheme="minorHAnsi" w:cs="Tahoma"/>
          <w:sz w:val="20"/>
          <w:szCs w:val="20"/>
          <w:u w:val="single"/>
        </w:rPr>
      </w:pPr>
      <w:r>
        <w:rPr>
          <w:rFonts w:asciiTheme="minorHAnsi" w:hAnsiTheme="minorHAnsi" w:cs="Tahoma"/>
          <w:sz w:val="20"/>
          <w:szCs w:val="20"/>
          <w:u w:val="single"/>
        </w:rPr>
        <w:t>Zastávky MHD</w:t>
      </w:r>
    </w:p>
    <w:p w:rsidR="00AE1749" w:rsidRDefault="00AE1749" w:rsidP="00AE1749">
      <w:pPr>
        <w:spacing w:line="360" w:lineRule="auto"/>
        <w:jc w:val="both"/>
        <w:rPr>
          <w:rFonts w:asciiTheme="minorHAnsi" w:hAnsiTheme="minorHAnsi"/>
        </w:rPr>
      </w:pPr>
      <w:r>
        <w:rPr>
          <w:rFonts w:asciiTheme="minorHAnsi" w:hAnsiTheme="minorHAnsi"/>
        </w:rPr>
        <w:tab/>
        <w:t>Výška nástupní hrany je navržena na +15 (</w:t>
      </w:r>
      <w:proofErr w:type="spellStart"/>
      <w:r>
        <w:rPr>
          <w:rFonts w:asciiTheme="minorHAnsi" w:hAnsiTheme="minorHAnsi"/>
        </w:rPr>
        <w:t>max</w:t>
      </w:r>
      <w:proofErr w:type="spellEnd"/>
      <w:r>
        <w:rPr>
          <w:rFonts w:asciiTheme="minorHAnsi" w:hAnsiTheme="minorHAnsi"/>
        </w:rPr>
        <w:t xml:space="preserve"> + 16cm). Podél nástupní hrany je kontrastní pás z červené hladké barvy šíře 0,4m. V místech cca 0,8 – 1,0m před označníkem zastávky je na kontrastní pás kolmo napojen signální pás šíře 0,8m z červené reliéfní dlažby.</w:t>
      </w:r>
    </w:p>
    <w:p w:rsidR="00CE3C72" w:rsidRPr="00D45365" w:rsidRDefault="00CE3C72" w:rsidP="00D45365">
      <w:pPr>
        <w:spacing w:line="360" w:lineRule="auto"/>
        <w:jc w:val="both"/>
      </w:pPr>
    </w:p>
    <w:p w:rsidR="00002B4E" w:rsidRPr="006179DE" w:rsidRDefault="00002B4E" w:rsidP="00942DA7">
      <w:pPr>
        <w:pStyle w:val="Nadpis1"/>
        <w:numPr>
          <w:ilvl w:val="1"/>
          <w:numId w:val="3"/>
        </w:numPr>
        <w:spacing w:before="0" w:after="0" w:line="360" w:lineRule="auto"/>
        <w:ind w:left="426" w:hanging="426"/>
        <w:rPr>
          <w:rFonts w:ascii="Calibri" w:hAnsi="Calibri" w:cs="Calibri"/>
          <w:color w:val="808080"/>
          <w:sz w:val="20"/>
          <w:szCs w:val="20"/>
        </w:rPr>
      </w:pPr>
      <w:bookmarkStart w:id="37" w:name="_Toc27300985"/>
      <w:r w:rsidRPr="006179DE">
        <w:rPr>
          <w:rFonts w:ascii="Calibri" w:hAnsi="Calibri" w:cs="Calibri"/>
          <w:color w:val="808080"/>
          <w:sz w:val="20"/>
          <w:szCs w:val="20"/>
        </w:rPr>
        <w:t>Bezpečnost při užívání stavby</w:t>
      </w:r>
      <w:bookmarkEnd w:id="37"/>
    </w:p>
    <w:p w:rsidR="004B6BBF" w:rsidRDefault="004B6BBF" w:rsidP="004B6BBF">
      <w:pPr>
        <w:pStyle w:val="cc"/>
        <w:spacing w:before="0" w:beforeAutospacing="0" w:after="0" w:afterAutospacing="0" w:line="360" w:lineRule="auto"/>
        <w:jc w:val="both"/>
        <w:rPr>
          <w:rFonts w:ascii="Calibri" w:hAnsi="Calibri" w:cs="Tahoma"/>
          <w:sz w:val="20"/>
          <w:szCs w:val="20"/>
        </w:rPr>
      </w:pPr>
      <w:r w:rsidRPr="00A9717A">
        <w:rPr>
          <w:rFonts w:ascii="Calibri" w:hAnsi="Calibri" w:cs="Tahoma"/>
          <w:sz w:val="20"/>
          <w:szCs w:val="20"/>
        </w:rPr>
        <w:t xml:space="preserve">Bezpečnost při užívání bude zajištěna dodržováním všech legislativních předpisů a pravidel. Bezpečnost provozu bude zajišťovat </w:t>
      </w:r>
      <w:r>
        <w:rPr>
          <w:rFonts w:ascii="Calibri" w:hAnsi="Calibri" w:cs="Tahoma"/>
          <w:sz w:val="20"/>
          <w:szCs w:val="20"/>
        </w:rPr>
        <w:t xml:space="preserve">investor a </w:t>
      </w:r>
      <w:r w:rsidRPr="00A9717A">
        <w:rPr>
          <w:rFonts w:ascii="Calibri" w:hAnsi="Calibri" w:cs="Tahoma"/>
          <w:sz w:val="20"/>
          <w:szCs w:val="20"/>
        </w:rPr>
        <w:t>určený správce.</w:t>
      </w:r>
    </w:p>
    <w:p w:rsidR="00CE3C72" w:rsidRPr="00A9717A" w:rsidRDefault="00CE3C72" w:rsidP="004B6BBF">
      <w:pPr>
        <w:pStyle w:val="cc"/>
        <w:spacing w:before="0" w:beforeAutospacing="0" w:after="0" w:afterAutospacing="0" w:line="360" w:lineRule="auto"/>
        <w:jc w:val="both"/>
        <w:rPr>
          <w:rFonts w:ascii="Calibri" w:hAnsi="Calibri" w:cs="Tahoma"/>
          <w:sz w:val="20"/>
          <w:szCs w:val="20"/>
        </w:rPr>
      </w:pPr>
    </w:p>
    <w:p w:rsidR="00002B4E" w:rsidRDefault="00002B4E" w:rsidP="00942DA7">
      <w:pPr>
        <w:pStyle w:val="Nadpis1"/>
        <w:numPr>
          <w:ilvl w:val="1"/>
          <w:numId w:val="3"/>
        </w:numPr>
        <w:spacing w:before="0" w:after="0" w:line="360" w:lineRule="auto"/>
        <w:ind w:left="426" w:hanging="426"/>
        <w:rPr>
          <w:rFonts w:ascii="Calibri" w:hAnsi="Calibri" w:cs="Calibri"/>
          <w:color w:val="808080"/>
          <w:sz w:val="20"/>
          <w:szCs w:val="20"/>
        </w:rPr>
      </w:pPr>
      <w:bookmarkStart w:id="38" w:name="_Toc27300986"/>
      <w:r w:rsidRPr="006179DE">
        <w:rPr>
          <w:rFonts w:ascii="Calibri" w:hAnsi="Calibri" w:cs="Calibri"/>
          <w:color w:val="808080"/>
          <w:sz w:val="20"/>
          <w:szCs w:val="20"/>
        </w:rPr>
        <w:t xml:space="preserve">Základní </w:t>
      </w:r>
      <w:r w:rsidR="004B6BBF">
        <w:rPr>
          <w:rFonts w:ascii="Calibri" w:hAnsi="Calibri" w:cs="Calibri"/>
          <w:color w:val="808080"/>
          <w:sz w:val="20"/>
          <w:szCs w:val="20"/>
        </w:rPr>
        <w:t>charakteristika objektů</w:t>
      </w:r>
      <w:bookmarkEnd w:id="38"/>
    </w:p>
    <w:p w:rsidR="005C402E" w:rsidRDefault="005C402E" w:rsidP="00942DA7">
      <w:pPr>
        <w:numPr>
          <w:ilvl w:val="0"/>
          <w:numId w:val="19"/>
        </w:numPr>
        <w:spacing w:line="360" w:lineRule="auto"/>
        <w:rPr>
          <w:rFonts w:ascii="Calibri" w:hAnsi="Calibri" w:cs="Times New Roman"/>
          <w:b/>
          <w:bCs/>
          <w:color w:val="7F7F7F"/>
          <w:kern w:val="32"/>
        </w:rPr>
      </w:pPr>
      <w:r w:rsidRPr="005C402E">
        <w:rPr>
          <w:rFonts w:ascii="Calibri" w:hAnsi="Calibri" w:cs="Times New Roman"/>
          <w:b/>
          <w:bCs/>
          <w:color w:val="7F7F7F"/>
          <w:kern w:val="32"/>
        </w:rPr>
        <w:t>Popis současného stavu</w:t>
      </w:r>
    </w:p>
    <w:p w:rsidR="002E3938" w:rsidRPr="002E3938" w:rsidRDefault="00881BC7" w:rsidP="002E3938">
      <w:pPr>
        <w:pStyle w:val="Odstavecseseznamem"/>
        <w:spacing w:line="360" w:lineRule="auto"/>
        <w:ind w:left="720"/>
        <w:jc w:val="both"/>
        <w:rPr>
          <w:rFonts w:asciiTheme="minorHAnsi" w:hAnsiTheme="minorHAnsi" w:cstheme="minorHAnsi"/>
        </w:rPr>
      </w:pPr>
      <w:r>
        <w:rPr>
          <w:rFonts w:asciiTheme="minorHAnsi" w:hAnsiTheme="minorHAnsi" w:cstheme="minorHAnsi"/>
        </w:rPr>
        <w:t xml:space="preserve">Ulice Pod Strážištěm se nachází v severní části Chomutova. Asfaltová vozovka je v šíři cca </w:t>
      </w:r>
      <w:r w:rsidR="00AF1B94">
        <w:rPr>
          <w:rFonts w:asciiTheme="minorHAnsi" w:hAnsiTheme="minorHAnsi" w:cstheme="minorHAnsi"/>
        </w:rPr>
        <w:t>6,9</w:t>
      </w:r>
      <w:r>
        <w:rPr>
          <w:rFonts w:asciiTheme="minorHAnsi" w:hAnsiTheme="minorHAnsi" w:cstheme="minorHAnsi"/>
        </w:rPr>
        <w:t xml:space="preserve"> – 9,00m. Vozovka je lemována kamennými krajníky, které jsou ve velké míře uvolněny a neplní svou funkci. Podél komunikace je v celé délce cca 2,0m živičný chodník. Příčné sklony jsou téměř v celém rozsah</w:t>
      </w:r>
      <w:r w:rsidR="00AE1BCC">
        <w:rPr>
          <w:rFonts w:asciiTheme="minorHAnsi" w:hAnsiTheme="minorHAnsi" w:cstheme="minorHAnsi"/>
        </w:rPr>
        <w:t>u jednostranné ve sklonu od 0,5</w:t>
      </w:r>
      <w:r>
        <w:rPr>
          <w:rFonts w:asciiTheme="minorHAnsi" w:hAnsiTheme="minorHAnsi" w:cstheme="minorHAnsi"/>
        </w:rPr>
        <w:t>% do cca 5,0% v obloucích. Největší příčný sklon je u napojení na ulici Blatenská, která je ve velikém podélném sklonu. Srážkové vody jsou odváděny do stávajících uličních vpustí. Vpusti jsou napojeny do dešťové kanalizace, která vede pod vozovkou. Dešťová kanalizace vyúsťuje do Krušnohorského přivaděče</w:t>
      </w:r>
      <w:r w:rsidR="00D94A9D">
        <w:rPr>
          <w:rFonts w:asciiTheme="minorHAnsi" w:hAnsiTheme="minorHAnsi" w:cstheme="minorHAnsi"/>
        </w:rPr>
        <w:t>,</w:t>
      </w:r>
      <w:r>
        <w:rPr>
          <w:rFonts w:asciiTheme="minorHAnsi" w:hAnsiTheme="minorHAnsi" w:cstheme="minorHAnsi"/>
        </w:rPr>
        <w:t xml:space="preserve"> u </w:t>
      </w:r>
      <w:r w:rsidR="00D94A9D">
        <w:rPr>
          <w:rFonts w:asciiTheme="minorHAnsi" w:hAnsiTheme="minorHAnsi" w:cstheme="minorHAnsi"/>
        </w:rPr>
        <w:t>mostu</w:t>
      </w:r>
      <w:r>
        <w:rPr>
          <w:rFonts w:asciiTheme="minorHAnsi" w:hAnsiTheme="minorHAnsi" w:cstheme="minorHAnsi"/>
        </w:rPr>
        <w:t xml:space="preserve"> v blízkosti křižovatky s ulicí </w:t>
      </w:r>
      <w:proofErr w:type="spellStart"/>
      <w:r>
        <w:rPr>
          <w:rFonts w:asciiTheme="minorHAnsi" w:hAnsiTheme="minorHAnsi" w:cstheme="minorHAnsi"/>
        </w:rPr>
        <w:t>Březenecká</w:t>
      </w:r>
      <w:proofErr w:type="spellEnd"/>
      <w:r>
        <w:rPr>
          <w:rFonts w:asciiTheme="minorHAnsi" w:hAnsiTheme="minorHAnsi" w:cstheme="minorHAnsi"/>
        </w:rPr>
        <w:t>. Do ulice je napojeno několik sjezdů, které jsou různorodě uprav</w:t>
      </w:r>
      <w:r w:rsidR="000D43A2">
        <w:rPr>
          <w:rFonts w:asciiTheme="minorHAnsi" w:hAnsiTheme="minorHAnsi" w:cstheme="minorHAnsi"/>
        </w:rPr>
        <w:t xml:space="preserve">eny svépomocí. V části u </w:t>
      </w:r>
      <w:proofErr w:type="spellStart"/>
      <w:r w:rsidR="000D43A2">
        <w:rPr>
          <w:rFonts w:asciiTheme="minorHAnsi" w:hAnsiTheme="minorHAnsi" w:cstheme="minorHAnsi"/>
        </w:rPr>
        <w:t>Strike</w:t>
      </w:r>
      <w:r>
        <w:rPr>
          <w:rFonts w:asciiTheme="minorHAnsi" w:hAnsiTheme="minorHAnsi" w:cstheme="minorHAnsi"/>
        </w:rPr>
        <w:t>land</w:t>
      </w:r>
      <w:proofErr w:type="spellEnd"/>
      <w:r>
        <w:rPr>
          <w:rFonts w:asciiTheme="minorHAnsi" w:hAnsiTheme="minorHAnsi" w:cstheme="minorHAnsi"/>
        </w:rPr>
        <w:t xml:space="preserve"> se nachází soukromé pozemky. Tyto pozemky částečně zasahují do vozovky a do pravého chodníku. Tento chodník není součástí stavby, je na pohled novější z betonové dlažby. </w:t>
      </w:r>
    </w:p>
    <w:p w:rsidR="002E3938" w:rsidRDefault="002E3938" w:rsidP="002E3938">
      <w:pPr>
        <w:spacing w:line="360" w:lineRule="auto"/>
        <w:ind w:left="720"/>
        <w:rPr>
          <w:rFonts w:ascii="Calibri" w:hAnsi="Calibri" w:cs="Times New Roman"/>
          <w:b/>
          <w:bCs/>
          <w:color w:val="7F7F7F"/>
          <w:kern w:val="32"/>
        </w:rPr>
      </w:pPr>
    </w:p>
    <w:p w:rsidR="006D0059" w:rsidRPr="004F1767" w:rsidRDefault="006D0059" w:rsidP="00942DA7">
      <w:pPr>
        <w:numPr>
          <w:ilvl w:val="0"/>
          <w:numId w:val="19"/>
        </w:numPr>
        <w:spacing w:line="360" w:lineRule="auto"/>
        <w:rPr>
          <w:rFonts w:ascii="Calibri" w:hAnsi="Calibri" w:cs="Times New Roman"/>
          <w:b/>
          <w:bCs/>
          <w:kern w:val="32"/>
        </w:rPr>
      </w:pPr>
      <w:r w:rsidRPr="004F1767">
        <w:rPr>
          <w:rFonts w:ascii="Calibri" w:hAnsi="Calibri" w:cs="Times New Roman"/>
          <w:b/>
          <w:bCs/>
          <w:kern w:val="32"/>
        </w:rPr>
        <w:t>Popis navrženého řešení</w:t>
      </w:r>
    </w:p>
    <w:p w:rsidR="007E077A" w:rsidRDefault="007E077A" w:rsidP="007E077A">
      <w:pPr>
        <w:pStyle w:val="Odstavecseseznamem"/>
        <w:spacing w:line="360" w:lineRule="auto"/>
        <w:ind w:left="720"/>
        <w:jc w:val="both"/>
        <w:rPr>
          <w:rFonts w:asciiTheme="minorHAnsi" w:hAnsiTheme="minorHAnsi" w:cstheme="minorHAnsi"/>
          <w:b/>
          <w:u w:val="single"/>
        </w:rPr>
      </w:pPr>
    </w:p>
    <w:p w:rsidR="004F3586" w:rsidRDefault="0098563D" w:rsidP="00B50E6E">
      <w:pPr>
        <w:spacing w:line="360" w:lineRule="auto"/>
        <w:ind w:left="709"/>
        <w:jc w:val="both"/>
        <w:rPr>
          <w:rFonts w:asciiTheme="minorHAnsi" w:hAnsiTheme="minorHAnsi" w:cstheme="minorHAnsi"/>
        </w:rPr>
      </w:pPr>
      <w:r>
        <w:rPr>
          <w:rFonts w:asciiTheme="minorHAnsi" w:hAnsiTheme="minorHAnsi" w:cstheme="minorHAnsi"/>
        </w:rPr>
        <w:t xml:space="preserve"> </w:t>
      </w:r>
      <w:r w:rsidR="00B96DA4">
        <w:rPr>
          <w:rFonts w:asciiTheme="minorHAnsi" w:hAnsiTheme="minorHAnsi" w:cstheme="minorHAnsi"/>
        </w:rPr>
        <w:t xml:space="preserve">Vzhledem k tomu, že se jedná zejména o obnovu povrchů v celém rozsahu řešeného úseku, zpevněné povrchy nejsou polohopisně změněny. Upravují se částečně příčné sklony vozovky a chodníků, výšky nášlapů obrub. Doplňují se hmatné prvky pro nevidomé a slabozraké. Nově se řeší vodorovné značení, které usměrní dopravní proudy a zvýší bezpečnost provozu obecně. </w:t>
      </w:r>
    </w:p>
    <w:p w:rsidR="00B96DA4" w:rsidRPr="004F3586" w:rsidRDefault="00B96DA4" w:rsidP="00A42DDA">
      <w:pPr>
        <w:spacing w:line="360" w:lineRule="auto"/>
        <w:ind w:left="709"/>
        <w:jc w:val="both"/>
        <w:rPr>
          <w:rFonts w:asciiTheme="minorHAnsi" w:hAnsiTheme="minorHAnsi" w:cstheme="minorHAnsi"/>
        </w:rPr>
      </w:pPr>
      <w:r>
        <w:rPr>
          <w:rFonts w:asciiTheme="minorHAnsi" w:hAnsiTheme="minorHAnsi" w:cstheme="minorHAnsi"/>
        </w:rPr>
        <w:t xml:space="preserve">V rámci stavby budou položeny chráničky metropolitní sítě a veřejného osvětlení a to zejména u překopů vozovky a chodníků. Jedná se o přípravu pro budoucí podzemní vedení optiky a rekonstrukci veřejného osvětlení. </w:t>
      </w:r>
    </w:p>
    <w:p w:rsidR="000121C8" w:rsidRPr="00CE3C72" w:rsidRDefault="000121C8" w:rsidP="00CE3C72">
      <w:pPr>
        <w:spacing w:line="360" w:lineRule="auto"/>
        <w:ind w:left="360"/>
        <w:jc w:val="both"/>
        <w:rPr>
          <w:rFonts w:asciiTheme="minorHAnsi" w:hAnsiTheme="minorHAnsi" w:cstheme="minorHAnsi"/>
        </w:rPr>
      </w:pPr>
    </w:p>
    <w:p w:rsidR="00002B4E" w:rsidRPr="006179DE" w:rsidRDefault="00002B4E" w:rsidP="00942DA7">
      <w:pPr>
        <w:pStyle w:val="Nadpis1"/>
        <w:numPr>
          <w:ilvl w:val="1"/>
          <w:numId w:val="3"/>
        </w:numPr>
        <w:spacing w:before="0" w:after="0" w:line="360" w:lineRule="auto"/>
        <w:ind w:left="426" w:hanging="426"/>
        <w:rPr>
          <w:rFonts w:ascii="Calibri" w:hAnsi="Calibri" w:cs="Calibri"/>
          <w:color w:val="808080"/>
          <w:sz w:val="20"/>
          <w:szCs w:val="20"/>
        </w:rPr>
      </w:pPr>
      <w:bookmarkStart w:id="39" w:name="_Toc27300987"/>
      <w:r w:rsidRPr="006179DE">
        <w:rPr>
          <w:rFonts w:ascii="Calibri" w:hAnsi="Calibri" w:cs="Calibri"/>
          <w:color w:val="808080"/>
          <w:sz w:val="20"/>
          <w:szCs w:val="20"/>
        </w:rPr>
        <w:lastRenderedPageBreak/>
        <w:t>Technická a technologická zařízení</w:t>
      </w:r>
      <w:bookmarkEnd w:id="39"/>
    </w:p>
    <w:p w:rsidR="00907468" w:rsidRPr="00907468" w:rsidRDefault="00002B4E" w:rsidP="00907468">
      <w:pPr>
        <w:pStyle w:val="Nadpis1"/>
        <w:numPr>
          <w:ilvl w:val="2"/>
          <w:numId w:val="5"/>
        </w:numPr>
        <w:spacing w:before="0" w:after="0" w:line="360" w:lineRule="auto"/>
        <w:ind w:left="567" w:hanging="283"/>
        <w:rPr>
          <w:rFonts w:ascii="Calibri" w:hAnsi="Calibri"/>
          <w:b w:val="0"/>
          <w:i/>
          <w:sz w:val="20"/>
          <w:szCs w:val="20"/>
        </w:rPr>
      </w:pPr>
      <w:bookmarkStart w:id="40" w:name="_Toc27300988"/>
      <w:r w:rsidRPr="006179DE">
        <w:rPr>
          <w:rFonts w:ascii="Calibri" w:hAnsi="Calibri"/>
          <w:b w:val="0"/>
          <w:i/>
          <w:sz w:val="20"/>
          <w:szCs w:val="20"/>
        </w:rPr>
        <w:t>Technické řešení</w:t>
      </w:r>
      <w:bookmarkEnd w:id="40"/>
    </w:p>
    <w:p w:rsidR="00002B4E" w:rsidRPr="006179DE" w:rsidRDefault="00002B4E" w:rsidP="00942DA7">
      <w:pPr>
        <w:pStyle w:val="Nadpis1"/>
        <w:numPr>
          <w:ilvl w:val="2"/>
          <w:numId w:val="5"/>
        </w:numPr>
        <w:spacing w:before="0" w:after="0" w:line="360" w:lineRule="auto"/>
        <w:ind w:left="567" w:hanging="283"/>
        <w:rPr>
          <w:rFonts w:ascii="Calibri" w:hAnsi="Calibri"/>
          <w:b w:val="0"/>
          <w:i/>
          <w:sz w:val="20"/>
          <w:szCs w:val="20"/>
        </w:rPr>
      </w:pPr>
      <w:bookmarkStart w:id="41" w:name="_Toc27300989"/>
      <w:r w:rsidRPr="006179DE">
        <w:rPr>
          <w:rFonts w:ascii="Calibri" w:hAnsi="Calibri"/>
          <w:b w:val="0"/>
          <w:i/>
          <w:sz w:val="20"/>
          <w:szCs w:val="20"/>
        </w:rPr>
        <w:t>Výčet technických a technologických zařízení</w:t>
      </w:r>
      <w:bookmarkEnd w:id="41"/>
    </w:p>
    <w:p w:rsidR="00002B4E" w:rsidRDefault="00002B4E" w:rsidP="00942DA7">
      <w:pPr>
        <w:spacing w:line="360" w:lineRule="auto"/>
        <w:jc w:val="both"/>
        <w:rPr>
          <w:rFonts w:ascii="Calibri" w:hAnsi="Calibri"/>
        </w:rPr>
      </w:pPr>
      <w:r>
        <w:rPr>
          <w:rFonts w:ascii="Calibri" w:hAnsi="Calibri"/>
        </w:rPr>
        <w:t>Není řešeno.</w:t>
      </w:r>
    </w:p>
    <w:p w:rsidR="00907468" w:rsidRDefault="00907468" w:rsidP="00942DA7">
      <w:pPr>
        <w:spacing w:line="360" w:lineRule="auto"/>
        <w:jc w:val="both"/>
        <w:rPr>
          <w:rFonts w:ascii="Calibri" w:hAnsi="Calibri"/>
        </w:rPr>
      </w:pPr>
    </w:p>
    <w:p w:rsidR="00002B4E" w:rsidRPr="006179DE" w:rsidRDefault="00002B4E" w:rsidP="00942DA7">
      <w:pPr>
        <w:pStyle w:val="Nadpis1"/>
        <w:numPr>
          <w:ilvl w:val="1"/>
          <w:numId w:val="3"/>
        </w:numPr>
        <w:spacing w:before="0" w:after="0" w:line="360" w:lineRule="auto"/>
        <w:ind w:left="426" w:hanging="426"/>
        <w:rPr>
          <w:rFonts w:ascii="Calibri" w:hAnsi="Calibri" w:cs="Calibri"/>
          <w:color w:val="808080"/>
          <w:sz w:val="20"/>
          <w:szCs w:val="20"/>
        </w:rPr>
      </w:pPr>
      <w:bookmarkStart w:id="42" w:name="_Toc27300990"/>
      <w:r w:rsidRPr="006179DE">
        <w:rPr>
          <w:rFonts w:ascii="Calibri" w:hAnsi="Calibri" w:cs="Calibri"/>
          <w:color w:val="808080"/>
          <w:sz w:val="20"/>
          <w:szCs w:val="20"/>
        </w:rPr>
        <w:t>Požárně bezpečnostní řešení</w:t>
      </w:r>
      <w:bookmarkEnd w:id="42"/>
    </w:p>
    <w:p w:rsidR="00002B4E" w:rsidRPr="006179DE" w:rsidRDefault="00002B4E" w:rsidP="00942DA7">
      <w:pPr>
        <w:pStyle w:val="Nadpis1"/>
        <w:numPr>
          <w:ilvl w:val="2"/>
          <w:numId w:val="6"/>
        </w:numPr>
        <w:spacing w:before="0" w:after="0" w:line="360" w:lineRule="auto"/>
        <w:ind w:left="567" w:hanging="283"/>
        <w:rPr>
          <w:rFonts w:ascii="Calibri" w:hAnsi="Calibri"/>
          <w:b w:val="0"/>
          <w:i/>
          <w:sz w:val="20"/>
          <w:szCs w:val="20"/>
        </w:rPr>
      </w:pPr>
      <w:bookmarkStart w:id="43" w:name="_Toc27300991"/>
      <w:r w:rsidRPr="006179DE">
        <w:rPr>
          <w:rFonts w:ascii="Calibri" w:hAnsi="Calibri"/>
          <w:b w:val="0"/>
          <w:i/>
          <w:sz w:val="20"/>
          <w:szCs w:val="20"/>
        </w:rPr>
        <w:t xml:space="preserve">Výpočet a posouzení </w:t>
      </w:r>
      <w:proofErr w:type="spellStart"/>
      <w:r w:rsidRPr="006179DE">
        <w:rPr>
          <w:rFonts w:ascii="Calibri" w:hAnsi="Calibri"/>
          <w:b w:val="0"/>
          <w:i/>
          <w:sz w:val="20"/>
          <w:szCs w:val="20"/>
        </w:rPr>
        <w:t>odstupových</w:t>
      </w:r>
      <w:proofErr w:type="spellEnd"/>
      <w:r w:rsidRPr="006179DE">
        <w:rPr>
          <w:rFonts w:ascii="Calibri" w:hAnsi="Calibri"/>
          <w:b w:val="0"/>
          <w:i/>
          <w:sz w:val="20"/>
          <w:szCs w:val="20"/>
        </w:rPr>
        <w:t xml:space="preserve"> vzdáleností a vymezení požárně nebezpečných prostorů</w:t>
      </w:r>
      <w:bookmarkEnd w:id="43"/>
    </w:p>
    <w:p w:rsidR="00002B4E" w:rsidRDefault="00002B4E" w:rsidP="00942DA7">
      <w:pPr>
        <w:spacing w:line="360" w:lineRule="auto"/>
        <w:jc w:val="both"/>
        <w:rPr>
          <w:rFonts w:ascii="Calibri" w:hAnsi="Calibri"/>
        </w:rPr>
      </w:pPr>
      <w:r w:rsidRPr="00962AFF">
        <w:rPr>
          <w:rFonts w:ascii="Calibri" w:hAnsi="Calibri"/>
        </w:rPr>
        <w:t xml:space="preserve">Vzhledem k charakteru stavby není potřeba zohledňovat </w:t>
      </w:r>
      <w:proofErr w:type="spellStart"/>
      <w:r w:rsidRPr="00962AFF">
        <w:rPr>
          <w:rFonts w:ascii="Calibri" w:hAnsi="Calibri"/>
        </w:rPr>
        <w:t>odstupové</w:t>
      </w:r>
      <w:proofErr w:type="spellEnd"/>
      <w:r w:rsidRPr="00962AFF">
        <w:rPr>
          <w:rFonts w:ascii="Calibri" w:hAnsi="Calibri"/>
        </w:rPr>
        <w:t xml:space="preserve"> vzdálenosti ani PNP.</w:t>
      </w:r>
    </w:p>
    <w:p w:rsidR="00907468" w:rsidRPr="00B401FF" w:rsidRDefault="00907468" w:rsidP="00942DA7">
      <w:pPr>
        <w:spacing w:line="360" w:lineRule="auto"/>
        <w:jc w:val="both"/>
        <w:rPr>
          <w:rFonts w:ascii="Calibri" w:hAnsi="Calibri"/>
        </w:rPr>
      </w:pPr>
    </w:p>
    <w:p w:rsidR="00002B4E" w:rsidRPr="006179DE" w:rsidRDefault="00002B4E" w:rsidP="00942DA7">
      <w:pPr>
        <w:pStyle w:val="Nadpis1"/>
        <w:numPr>
          <w:ilvl w:val="2"/>
          <w:numId w:val="6"/>
        </w:numPr>
        <w:spacing w:before="0" w:after="0" w:line="360" w:lineRule="auto"/>
        <w:ind w:left="567" w:hanging="283"/>
        <w:rPr>
          <w:rFonts w:ascii="Calibri" w:hAnsi="Calibri"/>
          <w:b w:val="0"/>
          <w:i/>
          <w:sz w:val="20"/>
          <w:szCs w:val="20"/>
        </w:rPr>
      </w:pPr>
      <w:bookmarkStart w:id="44" w:name="_Toc27300992"/>
      <w:r w:rsidRPr="006179DE">
        <w:rPr>
          <w:rFonts w:ascii="Calibri" w:hAnsi="Calibri"/>
          <w:b w:val="0"/>
          <w:i/>
          <w:sz w:val="20"/>
          <w:szCs w:val="20"/>
        </w:rPr>
        <w:t>Zajištění potřebného množství požární vody, popřípadě jiného hasiva</w:t>
      </w:r>
      <w:bookmarkEnd w:id="44"/>
    </w:p>
    <w:p w:rsidR="00002B4E" w:rsidRDefault="00002B4E" w:rsidP="00942DA7">
      <w:pPr>
        <w:spacing w:line="360" w:lineRule="auto"/>
        <w:jc w:val="both"/>
        <w:rPr>
          <w:rFonts w:ascii="Calibri" w:hAnsi="Calibri"/>
        </w:rPr>
      </w:pPr>
      <w:r>
        <w:rPr>
          <w:rFonts w:ascii="Calibri" w:hAnsi="Calibri"/>
        </w:rPr>
        <w:t xml:space="preserve">Stavba nemá vliv na stávající zdroje požární vody a jiného hasiva. </w:t>
      </w:r>
    </w:p>
    <w:p w:rsidR="00907468" w:rsidRPr="00B4298A" w:rsidRDefault="00907468" w:rsidP="00942DA7">
      <w:pPr>
        <w:spacing w:line="360" w:lineRule="auto"/>
        <w:jc w:val="both"/>
        <w:rPr>
          <w:rFonts w:ascii="Calibri" w:hAnsi="Calibri"/>
        </w:rPr>
      </w:pPr>
    </w:p>
    <w:p w:rsidR="00002B4E" w:rsidRPr="006179DE" w:rsidRDefault="00002B4E" w:rsidP="00942DA7">
      <w:pPr>
        <w:pStyle w:val="Nadpis1"/>
        <w:numPr>
          <w:ilvl w:val="2"/>
          <w:numId w:val="6"/>
        </w:numPr>
        <w:spacing w:before="0" w:after="0" w:line="360" w:lineRule="auto"/>
        <w:ind w:left="567" w:hanging="283"/>
        <w:rPr>
          <w:rFonts w:ascii="Calibri" w:hAnsi="Calibri"/>
          <w:b w:val="0"/>
          <w:i/>
          <w:sz w:val="20"/>
          <w:szCs w:val="20"/>
        </w:rPr>
      </w:pPr>
      <w:bookmarkStart w:id="45" w:name="_Toc27300993"/>
      <w:r w:rsidRPr="006179DE">
        <w:rPr>
          <w:rFonts w:ascii="Calibri" w:hAnsi="Calibri"/>
          <w:b w:val="0"/>
          <w:i/>
          <w:sz w:val="20"/>
          <w:szCs w:val="20"/>
        </w:rPr>
        <w:t>Předpokládané vybavení stavby vyhrazenými požárně bezpečnostními zařízeními včetně stanovení požadavků pro provedení stavby</w:t>
      </w:r>
      <w:bookmarkEnd w:id="45"/>
    </w:p>
    <w:p w:rsidR="00002B4E" w:rsidRDefault="00002B4E" w:rsidP="00942DA7">
      <w:pPr>
        <w:spacing w:line="360" w:lineRule="auto"/>
        <w:jc w:val="both"/>
        <w:rPr>
          <w:rFonts w:ascii="Calibri" w:hAnsi="Calibri"/>
        </w:rPr>
      </w:pPr>
      <w:r w:rsidRPr="00962AFF">
        <w:rPr>
          <w:rFonts w:ascii="Calibri" w:hAnsi="Calibri"/>
        </w:rPr>
        <w:t>Stavba vzhledem k svému charakteru není vybavena požárně bezpečnostním zařízením.</w:t>
      </w:r>
    </w:p>
    <w:p w:rsidR="00907468" w:rsidRPr="00962AFF" w:rsidRDefault="00907468" w:rsidP="00942DA7">
      <w:pPr>
        <w:spacing w:line="360" w:lineRule="auto"/>
        <w:jc w:val="both"/>
        <w:rPr>
          <w:rFonts w:ascii="Calibri" w:hAnsi="Calibri"/>
        </w:rPr>
      </w:pPr>
    </w:p>
    <w:p w:rsidR="00002B4E" w:rsidRPr="006179DE" w:rsidRDefault="00002B4E" w:rsidP="00942DA7">
      <w:pPr>
        <w:pStyle w:val="Nadpis1"/>
        <w:numPr>
          <w:ilvl w:val="2"/>
          <w:numId w:val="6"/>
        </w:numPr>
        <w:spacing w:before="0" w:after="0" w:line="360" w:lineRule="auto"/>
        <w:ind w:left="567" w:hanging="283"/>
        <w:rPr>
          <w:rFonts w:ascii="Calibri" w:hAnsi="Calibri"/>
          <w:b w:val="0"/>
          <w:i/>
          <w:sz w:val="20"/>
          <w:szCs w:val="20"/>
        </w:rPr>
      </w:pPr>
      <w:bookmarkStart w:id="46" w:name="_Toc27300994"/>
      <w:r w:rsidRPr="006179DE">
        <w:rPr>
          <w:rFonts w:ascii="Calibri" w:hAnsi="Calibri"/>
          <w:b w:val="0"/>
          <w:i/>
          <w:sz w:val="20"/>
          <w:szCs w:val="20"/>
        </w:rPr>
        <w:t>Zhodnocení přístupových komunikací a nástupních ploch pro požární techniku včetně možnosti provedení zásahu jednotek požární ochrany</w:t>
      </w:r>
      <w:bookmarkEnd w:id="46"/>
    </w:p>
    <w:p w:rsidR="00196FE1" w:rsidRDefault="008E46E4" w:rsidP="00196FE1">
      <w:pPr>
        <w:spacing w:line="360" w:lineRule="auto"/>
        <w:jc w:val="both"/>
        <w:rPr>
          <w:rFonts w:ascii="Calibri" w:hAnsi="Calibri"/>
        </w:rPr>
      </w:pPr>
      <w:r>
        <w:rPr>
          <w:rFonts w:ascii="Calibri" w:hAnsi="Calibri"/>
        </w:rPr>
        <w:t>Beze změny.</w:t>
      </w:r>
    </w:p>
    <w:p w:rsidR="00907468" w:rsidRDefault="00907468" w:rsidP="00196FE1">
      <w:pPr>
        <w:spacing w:line="360" w:lineRule="auto"/>
        <w:jc w:val="both"/>
        <w:rPr>
          <w:rFonts w:ascii="Calibri" w:hAnsi="Calibri"/>
        </w:rPr>
      </w:pPr>
    </w:p>
    <w:p w:rsidR="00002B4E" w:rsidRPr="006179DE" w:rsidRDefault="006D0059" w:rsidP="00942DA7">
      <w:pPr>
        <w:pStyle w:val="Nadpis1"/>
        <w:numPr>
          <w:ilvl w:val="1"/>
          <w:numId w:val="3"/>
        </w:numPr>
        <w:spacing w:before="0" w:after="0" w:line="360" w:lineRule="auto"/>
        <w:ind w:left="426" w:hanging="426"/>
        <w:rPr>
          <w:rFonts w:ascii="Calibri" w:hAnsi="Calibri" w:cs="Calibri"/>
          <w:color w:val="808080"/>
          <w:sz w:val="20"/>
          <w:szCs w:val="20"/>
        </w:rPr>
      </w:pPr>
      <w:bookmarkStart w:id="47" w:name="_Toc27300995"/>
      <w:bookmarkEnd w:id="0"/>
      <w:bookmarkEnd w:id="1"/>
      <w:r>
        <w:rPr>
          <w:rFonts w:ascii="Calibri" w:hAnsi="Calibri" w:cs="Calibri"/>
          <w:color w:val="808080"/>
          <w:sz w:val="20"/>
          <w:szCs w:val="20"/>
        </w:rPr>
        <w:t>Úspora energie a tepelná ochrana</w:t>
      </w:r>
      <w:bookmarkEnd w:id="47"/>
    </w:p>
    <w:p w:rsidR="00002B4E" w:rsidRDefault="006D0059" w:rsidP="00942DA7">
      <w:pPr>
        <w:spacing w:line="360" w:lineRule="auto"/>
        <w:jc w:val="both"/>
        <w:rPr>
          <w:rFonts w:ascii="Calibri" w:hAnsi="Calibri"/>
        </w:rPr>
      </w:pPr>
      <w:r>
        <w:rPr>
          <w:rFonts w:ascii="Calibri" w:hAnsi="Calibri"/>
        </w:rPr>
        <w:t>Není řešeno</w:t>
      </w:r>
    </w:p>
    <w:p w:rsidR="00907468" w:rsidRPr="002D6C66" w:rsidRDefault="00907468" w:rsidP="00942DA7">
      <w:pPr>
        <w:spacing w:line="360" w:lineRule="auto"/>
        <w:jc w:val="both"/>
        <w:rPr>
          <w:rFonts w:ascii="Calibri" w:hAnsi="Calibri"/>
        </w:rPr>
      </w:pPr>
    </w:p>
    <w:p w:rsidR="00002B4E" w:rsidRPr="006179DE" w:rsidRDefault="00002B4E" w:rsidP="00942DA7">
      <w:pPr>
        <w:pStyle w:val="Nadpis1"/>
        <w:numPr>
          <w:ilvl w:val="1"/>
          <w:numId w:val="3"/>
        </w:numPr>
        <w:spacing w:before="0" w:after="0" w:line="360" w:lineRule="auto"/>
        <w:ind w:left="426" w:hanging="426"/>
        <w:rPr>
          <w:rFonts w:ascii="Calibri" w:hAnsi="Calibri" w:cs="Calibri"/>
          <w:color w:val="808080"/>
          <w:sz w:val="20"/>
          <w:szCs w:val="20"/>
        </w:rPr>
      </w:pPr>
      <w:bookmarkStart w:id="48" w:name="_Toc27300996"/>
      <w:r w:rsidRPr="006179DE">
        <w:rPr>
          <w:rFonts w:ascii="Calibri" w:hAnsi="Calibri" w:cs="Calibri"/>
          <w:color w:val="808080"/>
          <w:sz w:val="20"/>
          <w:szCs w:val="20"/>
        </w:rPr>
        <w:t>Hygienické požadavky na stavby, požadavky na pracovní a komunální prostředí</w:t>
      </w:r>
      <w:bookmarkEnd w:id="48"/>
    </w:p>
    <w:p w:rsidR="00002B4E" w:rsidRPr="00BE1724" w:rsidRDefault="00002B4E" w:rsidP="00942DA7">
      <w:pPr>
        <w:spacing w:line="360" w:lineRule="auto"/>
        <w:rPr>
          <w:rFonts w:ascii="Calibri" w:hAnsi="Calibri" w:cs="Calibri"/>
          <w:i/>
        </w:rPr>
      </w:pPr>
      <w:r w:rsidRPr="00BE1724">
        <w:rPr>
          <w:rFonts w:ascii="Calibri" w:hAnsi="Calibri" w:cs="Calibri"/>
          <w:i/>
        </w:rPr>
        <w:t>Zásady řešení parametrů stavby (větrání, vytápění, osvětlení, zásobování vodou, odpady apod.) a dále zásady řešení vlivu stavby na okolí (vibrace, hluk, prašnost apod.)</w:t>
      </w:r>
    </w:p>
    <w:p w:rsidR="00002B4E" w:rsidRDefault="00002B4E" w:rsidP="00942DA7">
      <w:pPr>
        <w:spacing w:line="360" w:lineRule="auto"/>
        <w:jc w:val="both"/>
        <w:rPr>
          <w:rFonts w:ascii="Calibri" w:hAnsi="Calibri"/>
        </w:rPr>
      </w:pPr>
      <w:r w:rsidRPr="00122D28">
        <w:rPr>
          <w:rFonts w:ascii="Calibri" w:hAnsi="Calibri"/>
        </w:rPr>
        <w:t>Navrhovan</w:t>
      </w:r>
      <w:r>
        <w:rPr>
          <w:rFonts w:ascii="Calibri" w:hAnsi="Calibri"/>
        </w:rPr>
        <w:t>é komunikace</w:t>
      </w:r>
      <w:r w:rsidRPr="00122D28">
        <w:rPr>
          <w:rFonts w:ascii="Calibri" w:hAnsi="Calibri"/>
        </w:rPr>
        <w:t xml:space="preserve"> splňuj</w:t>
      </w:r>
      <w:r>
        <w:rPr>
          <w:rFonts w:ascii="Calibri" w:hAnsi="Calibri"/>
        </w:rPr>
        <w:t>í</w:t>
      </w:r>
      <w:r w:rsidRPr="00122D28">
        <w:rPr>
          <w:rFonts w:ascii="Calibri" w:hAnsi="Calibri"/>
        </w:rPr>
        <w:t xml:space="preserve"> požadavky dané záměrem stavby, návrh odpovídá</w:t>
      </w:r>
      <w:r>
        <w:rPr>
          <w:rFonts w:ascii="Calibri" w:hAnsi="Calibri"/>
        </w:rPr>
        <w:t xml:space="preserve"> normovým</w:t>
      </w:r>
      <w:r w:rsidRPr="00122D28">
        <w:rPr>
          <w:rFonts w:ascii="Calibri" w:hAnsi="Calibri"/>
        </w:rPr>
        <w:t xml:space="preserve"> požadavkům. Stavba nebude mít negativní vliv na jednotlivé složky životního prostředí</w:t>
      </w:r>
      <w:r>
        <w:rPr>
          <w:rFonts w:ascii="Calibri" w:hAnsi="Calibri"/>
        </w:rPr>
        <w:t>, zejména z hlediska vibrací, hluku a prašnosti</w:t>
      </w:r>
      <w:r w:rsidRPr="00122D28">
        <w:rPr>
          <w:rFonts w:ascii="Calibri" w:hAnsi="Calibri"/>
        </w:rPr>
        <w:t xml:space="preserve">. </w:t>
      </w:r>
    </w:p>
    <w:p w:rsidR="00907468" w:rsidRDefault="00907468" w:rsidP="00942DA7">
      <w:pPr>
        <w:spacing w:line="360" w:lineRule="auto"/>
        <w:jc w:val="both"/>
        <w:rPr>
          <w:rFonts w:ascii="Calibri" w:hAnsi="Calibri"/>
        </w:rPr>
      </w:pPr>
    </w:p>
    <w:p w:rsidR="00002B4E" w:rsidRPr="006179DE" w:rsidRDefault="00002B4E" w:rsidP="00942DA7">
      <w:pPr>
        <w:pStyle w:val="Nadpis1"/>
        <w:numPr>
          <w:ilvl w:val="1"/>
          <w:numId w:val="3"/>
        </w:numPr>
        <w:spacing w:before="0" w:after="0" w:line="360" w:lineRule="auto"/>
        <w:ind w:left="426" w:hanging="426"/>
        <w:rPr>
          <w:rFonts w:ascii="Calibri" w:hAnsi="Calibri" w:cs="Calibri"/>
          <w:color w:val="808080"/>
          <w:sz w:val="20"/>
          <w:szCs w:val="20"/>
        </w:rPr>
      </w:pPr>
      <w:bookmarkStart w:id="49" w:name="_Toc27300997"/>
      <w:r w:rsidRPr="006179DE">
        <w:rPr>
          <w:rFonts w:ascii="Calibri" w:hAnsi="Calibri" w:cs="Calibri"/>
          <w:color w:val="808080"/>
          <w:sz w:val="20"/>
          <w:szCs w:val="20"/>
        </w:rPr>
        <w:t>Zásady ochrany stavby před negativními účinky vnějšího prostředí</w:t>
      </w:r>
      <w:bookmarkEnd w:id="49"/>
    </w:p>
    <w:p w:rsidR="006D0059" w:rsidRDefault="006D0059" w:rsidP="00942DA7">
      <w:pPr>
        <w:numPr>
          <w:ilvl w:val="0"/>
          <w:numId w:val="21"/>
        </w:numPr>
        <w:spacing w:line="360" w:lineRule="auto"/>
        <w:rPr>
          <w:rFonts w:ascii="Calibri" w:hAnsi="Calibri" w:cs="Times New Roman"/>
          <w:b/>
          <w:bCs/>
          <w:color w:val="7F7F7F"/>
          <w:kern w:val="32"/>
        </w:rPr>
      </w:pPr>
      <w:r w:rsidRPr="006D0059">
        <w:rPr>
          <w:rFonts w:ascii="Calibri" w:hAnsi="Calibri" w:cs="Times New Roman"/>
          <w:b/>
          <w:bCs/>
          <w:color w:val="7F7F7F"/>
          <w:kern w:val="32"/>
        </w:rPr>
        <w:t>Ochrana před pronikání radonu</w:t>
      </w:r>
    </w:p>
    <w:p w:rsidR="00942DA7" w:rsidRDefault="00942DA7" w:rsidP="00942DA7">
      <w:pPr>
        <w:spacing w:line="360" w:lineRule="auto"/>
        <w:ind w:left="720"/>
        <w:rPr>
          <w:rFonts w:ascii="Calibri" w:hAnsi="Calibri"/>
        </w:rPr>
      </w:pPr>
      <w:r w:rsidRPr="00942DA7">
        <w:rPr>
          <w:rFonts w:ascii="Calibri" w:hAnsi="Calibri" w:cs="Times New Roman"/>
          <w:bCs/>
          <w:kern w:val="32"/>
        </w:rPr>
        <w:t>Není řešeno</w:t>
      </w:r>
      <w:r w:rsidR="002816CF">
        <w:rPr>
          <w:rFonts w:ascii="Calibri" w:hAnsi="Calibri" w:cs="Times New Roman"/>
          <w:bCs/>
          <w:kern w:val="32"/>
        </w:rPr>
        <w:t>.</w:t>
      </w:r>
      <w:r w:rsidR="002816CF" w:rsidRPr="002816CF">
        <w:rPr>
          <w:rFonts w:ascii="Calibri" w:hAnsi="Calibri"/>
        </w:rPr>
        <w:t xml:space="preserve"> </w:t>
      </w:r>
      <w:r w:rsidR="002816CF" w:rsidRPr="00122D28">
        <w:rPr>
          <w:rFonts w:ascii="Calibri" w:hAnsi="Calibri"/>
        </w:rPr>
        <w:t>Dle charakteru stavby (komunikace) není nutné provádět opatření proti pronikání radonu z podloží.</w:t>
      </w:r>
    </w:p>
    <w:p w:rsidR="00907468" w:rsidRPr="00942DA7" w:rsidRDefault="00907468" w:rsidP="00942DA7">
      <w:pPr>
        <w:spacing w:line="360" w:lineRule="auto"/>
        <w:ind w:left="720"/>
        <w:rPr>
          <w:rFonts w:ascii="Calibri" w:hAnsi="Calibri" w:cs="Times New Roman"/>
          <w:bCs/>
          <w:kern w:val="32"/>
        </w:rPr>
      </w:pPr>
    </w:p>
    <w:p w:rsidR="006D0059" w:rsidRPr="006D0059" w:rsidRDefault="006D0059" w:rsidP="00942DA7">
      <w:pPr>
        <w:numPr>
          <w:ilvl w:val="0"/>
          <w:numId w:val="21"/>
        </w:numPr>
        <w:spacing w:line="360" w:lineRule="auto"/>
        <w:rPr>
          <w:rFonts w:ascii="Calibri" w:hAnsi="Calibri" w:cs="Times New Roman"/>
          <w:b/>
          <w:bCs/>
          <w:color w:val="7F7F7F"/>
          <w:kern w:val="32"/>
        </w:rPr>
      </w:pPr>
      <w:r w:rsidRPr="006D0059">
        <w:rPr>
          <w:rFonts w:ascii="Calibri" w:hAnsi="Calibri" w:cs="Times New Roman"/>
          <w:b/>
          <w:bCs/>
          <w:color w:val="7F7F7F"/>
          <w:kern w:val="32"/>
        </w:rPr>
        <w:t>Ochrana před bludnými proudy</w:t>
      </w:r>
    </w:p>
    <w:p w:rsidR="006D0059" w:rsidRDefault="006D0059" w:rsidP="00942DA7">
      <w:pPr>
        <w:spacing w:line="360" w:lineRule="auto"/>
        <w:ind w:left="709"/>
        <w:rPr>
          <w:rFonts w:ascii="Calibri" w:hAnsi="Calibri"/>
        </w:rPr>
      </w:pPr>
      <w:r w:rsidRPr="006D0059">
        <w:rPr>
          <w:rFonts w:ascii="Calibri" w:hAnsi="Calibri"/>
        </w:rPr>
        <w:lastRenderedPageBreak/>
        <w:t>V místě stavby se nenacház</w:t>
      </w:r>
      <w:r w:rsidR="002816CF">
        <w:rPr>
          <w:rFonts w:ascii="Calibri" w:hAnsi="Calibri"/>
        </w:rPr>
        <w:t>ej</w:t>
      </w:r>
      <w:r w:rsidRPr="006D0059">
        <w:rPr>
          <w:rFonts w:ascii="Calibri" w:hAnsi="Calibri"/>
        </w:rPr>
        <w:t>í bludné proudy.</w:t>
      </w:r>
    </w:p>
    <w:p w:rsidR="00907468" w:rsidRDefault="00907468" w:rsidP="00942DA7">
      <w:pPr>
        <w:spacing w:line="360" w:lineRule="auto"/>
        <w:ind w:left="709"/>
        <w:rPr>
          <w:rFonts w:ascii="Calibri" w:hAnsi="Calibri"/>
        </w:rPr>
      </w:pPr>
    </w:p>
    <w:p w:rsidR="006D0059" w:rsidRPr="006D0059" w:rsidRDefault="006D0059" w:rsidP="00942DA7">
      <w:pPr>
        <w:numPr>
          <w:ilvl w:val="0"/>
          <w:numId w:val="21"/>
        </w:numPr>
        <w:spacing w:line="360" w:lineRule="auto"/>
        <w:rPr>
          <w:rFonts w:ascii="Calibri" w:hAnsi="Calibri" w:cs="Times New Roman"/>
          <w:b/>
          <w:bCs/>
          <w:color w:val="7F7F7F"/>
          <w:kern w:val="32"/>
        </w:rPr>
      </w:pPr>
      <w:r w:rsidRPr="006D0059">
        <w:rPr>
          <w:rFonts w:ascii="Calibri" w:hAnsi="Calibri" w:cs="Times New Roman"/>
          <w:b/>
          <w:bCs/>
          <w:color w:val="7F7F7F"/>
          <w:kern w:val="32"/>
        </w:rPr>
        <w:t>Ochrana před technickou seizmicitou</w:t>
      </w:r>
    </w:p>
    <w:p w:rsidR="006D0059" w:rsidRDefault="006D0059" w:rsidP="00942DA7">
      <w:pPr>
        <w:spacing w:line="360" w:lineRule="auto"/>
        <w:ind w:left="709"/>
        <w:rPr>
          <w:rFonts w:ascii="Calibri" w:hAnsi="Calibri"/>
        </w:rPr>
      </w:pPr>
      <w:r w:rsidRPr="006D0059">
        <w:rPr>
          <w:rFonts w:ascii="Calibri" w:hAnsi="Calibri"/>
        </w:rPr>
        <w:t>Stavba se nenachází v oblasti se seizmicitou</w:t>
      </w:r>
    </w:p>
    <w:p w:rsidR="00907468" w:rsidRPr="006D0059" w:rsidRDefault="00907468" w:rsidP="00942DA7">
      <w:pPr>
        <w:spacing w:line="360" w:lineRule="auto"/>
        <w:ind w:left="709"/>
        <w:rPr>
          <w:rFonts w:ascii="Calibri" w:hAnsi="Calibri"/>
        </w:rPr>
      </w:pPr>
    </w:p>
    <w:p w:rsidR="006D0059" w:rsidRPr="006D0059" w:rsidRDefault="006D0059" w:rsidP="00942DA7">
      <w:pPr>
        <w:numPr>
          <w:ilvl w:val="0"/>
          <w:numId w:val="21"/>
        </w:numPr>
        <w:spacing w:line="360" w:lineRule="auto"/>
        <w:rPr>
          <w:rFonts w:ascii="Calibri" w:hAnsi="Calibri" w:cs="Times New Roman"/>
          <w:b/>
          <w:bCs/>
          <w:color w:val="7F7F7F"/>
          <w:kern w:val="32"/>
        </w:rPr>
      </w:pPr>
      <w:r w:rsidRPr="006D0059">
        <w:rPr>
          <w:rFonts w:ascii="Calibri" w:hAnsi="Calibri" w:cs="Times New Roman"/>
          <w:b/>
          <w:bCs/>
          <w:color w:val="7F7F7F"/>
          <w:kern w:val="32"/>
        </w:rPr>
        <w:t>Ochrana před hlukem</w:t>
      </w:r>
    </w:p>
    <w:p w:rsidR="006D0059" w:rsidRDefault="006D0059" w:rsidP="00942DA7">
      <w:pPr>
        <w:spacing w:line="360" w:lineRule="auto"/>
        <w:ind w:left="709"/>
        <w:rPr>
          <w:rFonts w:ascii="Calibri" w:hAnsi="Calibri"/>
        </w:rPr>
      </w:pPr>
      <w:r w:rsidRPr="006D0059">
        <w:rPr>
          <w:rFonts w:ascii="Calibri" w:hAnsi="Calibri"/>
        </w:rPr>
        <w:t>Stavba se nenachází v oblasti se zvýšeným hlukem.</w:t>
      </w:r>
    </w:p>
    <w:p w:rsidR="00907468" w:rsidRDefault="00907468" w:rsidP="00942DA7">
      <w:pPr>
        <w:spacing w:line="360" w:lineRule="auto"/>
        <w:ind w:left="709"/>
        <w:rPr>
          <w:rFonts w:ascii="Calibri" w:hAnsi="Calibri"/>
        </w:rPr>
      </w:pPr>
    </w:p>
    <w:p w:rsidR="006D0059" w:rsidRPr="006D0059" w:rsidRDefault="006D0059" w:rsidP="00942DA7">
      <w:pPr>
        <w:numPr>
          <w:ilvl w:val="0"/>
          <w:numId w:val="21"/>
        </w:numPr>
        <w:spacing w:line="360" w:lineRule="auto"/>
        <w:rPr>
          <w:rFonts w:ascii="Calibri" w:hAnsi="Calibri" w:cs="Times New Roman"/>
          <w:b/>
          <w:bCs/>
          <w:color w:val="7F7F7F"/>
          <w:kern w:val="32"/>
        </w:rPr>
      </w:pPr>
      <w:r w:rsidRPr="006D0059">
        <w:rPr>
          <w:rFonts w:ascii="Calibri" w:hAnsi="Calibri" w:cs="Times New Roman"/>
          <w:b/>
          <w:bCs/>
          <w:color w:val="7F7F7F"/>
          <w:kern w:val="32"/>
        </w:rPr>
        <w:t>Protipovodňová opatření</w:t>
      </w:r>
    </w:p>
    <w:p w:rsidR="006D0059" w:rsidRDefault="006D0059" w:rsidP="00942DA7">
      <w:pPr>
        <w:spacing w:line="360" w:lineRule="auto"/>
        <w:ind w:left="709"/>
        <w:rPr>
          <w:rFonts w:ascii="Calibri" w:hAnsi="Calibri"/>
        </w:rPr>
      </w:pPr>
      <w:r w:rsidRPr="006D0059">
        <w:rPr>
          <w:rFonts w:ascii="Calibri" w:hAnsi="Calibri"/>
        </w:rPr>
        <w:t>Stavba se nenachází v záplavovém území.</w:t>
      </w:r>
    </w:p>
    <w:p w:rsidR="00907468" w:rsidRPr="006D0059" w:rsidRDefault="00907468" w:rsidP="00942DA7">
      <w:pPr>
        <w:spacing w:line="360" w:lineRule="auto"/>
        <w:ind w:left="709"/>
        <w:rPr>
          <w:rFonts w:ascii="Calibri" w:hAnsi="Calibri"/>
        </w:rPr>
      </w:pPr>
    </w:p>
    <w:p w:rsidR="006D0059" w:rsidRPr="006D0059" w:rsidRDefault="006D0059" w:rsidP="00942DA7">
      <w:pPr>
        <w:numPr>
          <w:ilvl w:val="0"/>
          <w:numId w:val="21"/>
        </w:numPr>
        <w:spacing w:line="360" w:lineRule="auto"/>
        <w:rPr>
          <w:rFonts w:ascii="Calibri" w:hAnsi="Calibri" w:cs="Times New Roman"/>
          <w:b/>
          <w:bCs/>
          <w:color w:val="7F7F7F"/>
          <w:kern w:val="32"/>
        </w:rPr>
      </w:pPr>
      <w:r w:rsidRPr="006D0059">
        <w:rPr>
          <w:rFonts w:ascii="Calibri" w:hAnsi="Calibri" w:cs="Times New Roman"/>
          <w:b/>
          <w:bCs/>
          <w:color w:val="7F7F7F"/>
          <w:kern w:val="32"/>
        </w:rPr>
        <w:t>Ostatní účinky (vliv poddolování, výskyt metanu apod.)</w:t>
      </w:r>
    </w:p>
    <w:p w:rsidR="006D0059" w:rsidRPr="006D0059" w:rsidRDefault="006D0059" w:rsidP="00942DA7">
      <w:pPr>
        <w:spacing w:line="360" w:lineRule="auto"/>
        <w:ind w:left="709"/>
        <w:rPr>
          <w:rFonts w:ascii="Calibri" w:hAnsi="Calibri"/>
        </w:rPr>
      </w:pPr>
      <w:r w:rsidRPr="006D0059">
        <w:rPr>
          <w:rFonts w:ascii="Calibri" w:hAnsi="Calibri"/>
        </w:rPr>
        <w:t>Ostatní účinky v dané lokalitě nejsou.</w:t>
      </w:r>
    </w:p>
    <w:p w:rsidR="002816CF" w:rsidRPr="00122D28" w:rsidRDefault="002816CF" w:rsidP="00942DA7">
      <w:pPr>
        <w:spacing w:line="360" w:lineRule="auto"/>
        <w:jc w:val="both"/>
        <w:rPr>
          <w:rFonts w:ascii="Calibri" w:hAnsi="Calibri"/>
        </w:rPr>
      </w:pPr>
    </w:p>
    <w:p w:rsidR="00002B4E" w:rsidRPr="006179DE" w:rsidRDefault="00002B4E" w:rsidP="00942DA7">
      <w:pPr>
        <w:pStyle w:val="Nadpis1"/>
        <w:numPr>
          <w:ilvl w:val="0"/>
          <w:numId w:val="3"/>
        </w:numPr>
        <w:spacing w:before="0" w:after="0" w:line="360" w:lineRule="auto"/>
        <w:ind w:left="426" w:hanging="426"/>
        <w:rPr>
          <w:rFonts w:ascii="Calibri" w:hAnsi="Calibri" w:cs="Calibri"/>
          <w:sz w:val="20"/>
          <w:szCs w:val="20"/>
        </w:rPr>
      </w:pPr>
      <w:bookmarkStart w:id="50" w:name="_Toc27300998"/>
      <w:r w:rsidRPr="006179DE">
        <w:rPr>
          <w:rFonts w:ascii="Calibri" w:hAnsi="Calibri" w:cs="Calibri"/>
          <w:sz w:val="20"/>
          <w:szCs w:val="20"/>
        </w:rPr>
        <w:t>PŘIPOJENÍ NA TECHNICKOU INFRASTRUKTURU</w:t>
      </w:r>
      <w:bookmarkEnd w:id="50"/>
    </w:p>
    <w:p w:rsidR="00002B4E" w:rsidRPr="006179DE" w:rsidRDefault="00002B4E" w:rsidP="00942DA7">
      <w:pPr>
        <w:pStyle w:val="Nadpis1"/>
        <w:numPr>
          <w:ilvl w:val="2"/>
          <w:numId w:val="7"/>
        </w:numPr>
        <w:spacing w:before="0" w:after="0" w:line="360" w:lineRule="auto"/>
        <w:ind w:left="567" w:hanging="283"/>
        <w:rPr>
          <w:rFonts w:ascii="Calibri" w:hAnsi="Calibri"/>
          <w:color w:val="808080"/>
          <w:sz w:val="20"/>
          <w:szCs w:val="20"/>
        </w:rPr>
      </w:pPr>
      <w:bookmarkStart w:id="51" w:name="_Toc27300999"/>
      <w:proofErr w:type="spellStart"/>
      <w:r w:rsidRPr="006179DE">
        <w:rPr>
          <w:rFonts w:ascii="Calibri" w:hAnsi="Calibri"/>
          <w:color w:val="808080"/>
          <w:sz w:val="20"/>
          <w:szCs w:val="20"/>
        </w:rPr>
        <w:t>Napojovací</w:t>
      </w:r>
      <w:proofErr w:type="spellEnd"/>
      <w:r w:rsidRPr="006179DE">
        <w:rPr>
          <w:rFonts w:ascii="Calibri" w:hAnsi="Calibri"/>
          <w:color w:val="808080"/>
          <w:sz w:val="20"/>
          <w:szCs w:val="20"/>
        </w:rPr>
        <w:t xml:space="preserve"> místa technické infrastruktury, přeložky</w:t>
      </w:r>
      <w:bookmarkEnd w:id="51"/>
    </w:p>
    <w:p w:rsidR="00002B4E" w:rsidRDefault="00B1026D" w:rsidP="00942DA7">
      <w:pPr>
        <w:spacing w:line="360" w:lineRule="auto"/>
        <w:jc w:val="both"/>
        <w:rPr>
          <w:rFonts w:ascii="Calibri" w:hAnsi="Calibri"/>
        </w:rPr>
      </w:pPr>
      <w:r>
        <w:rPr>
          <w:rFonts w:ascii="Calibri" w:hAnsi="Calibri"/>
        </w:rPr>
        <w:t>Není řešeno</w:t>
      </w:r>
    </w:p>
    <w:p w:rsidR="00907468" w:rsidRPr="00E21CBF" w:rsidRDefault="00907468" w:rsidP="00942DA7">
      <w:pPr>
        <w:spacing w:line="360" w:lineRule="auto"/>
        <w:jc w:val="both"/>
        <w:rPr>
          <w:rFonts w:ascii="Calibri" w:hAnsi="Calibri"/>
        </w:rPr>
      </w:pPr>
    </w:p>
    <w:p w:rsidR="00002B4E" w:rsidRPr="006179DE" w:rsidRDefault="00002B4E" w:rsidP="00942DA7">
      <w:pPr>
        <w:pStyle w:val="Nadpis1"/>
        <w:numPr>
          <w:ilvl w:val="2"/>
          <w:numId w:val="7"/>
        </w:numPr>
        <w:spacing w:before="0" w:after="0" w:line="360" w:lineRule="auto"/>
        <w:ind w:left="567" w:hanging="283"/>
        <w:rPr>
          <w:rFonts w:ascii="Calibri" w:hAnsi="Calibri"/>
          <w:color w:val="808080"/>
          <w:sz w:val="20"/>
          <w:szCs w:val="20"/>
        </w:rPr>
      </w:pPr>
      <w:bookmarkStart w:id="52" w:name="_Toc27301000"/>
      <w:r w:rsidRPr="006179DE">
        <w:rPr>
          <w:rFonts w:ascii="Calibri" w:hAnsi="Calibri"/>
          <w:color w:val="808080"/>
          <w:sz w:val="20"/>
          <w:szCs w:val="20"/>
        </w:rPr>
        <w:t>Připojovací rozměry, výkonné kapacity a délky</w:t>
      </w:r>
      <w:bookmarkEnd w:id="52"/>
    </w:p>
    <w:p w:rsidR="00002B4E" w:rsidRDefault="001647DC" w:rsidP="00942DA7">
      <w:pPr>
        <w:spacing w:line="360" w:lineRule="auto"/>
        <w:jc w:val="both"/>
        <w:rPr>
          <w:rFonts w:ascii="Calibri" w:hAnsi="Calibri"/>
        </w:rPr>
      </w:pPr>
      <w:r>
        <w:rPr>
          <w:rFonts w:ascii="Calibri" w:hAnsi="Calibri"/>
        </w:rPr>
        <w:t>Není řešeno</w:t>
      </w:r>
      <w:r w:rsidR="00BA1900">
        <w:rPr>
          <w:rFonts w:ascii="Calibri" w:hAnsi="Calibri"/>
        </w:rPr>
        <w:t>.</w:t>
      </w:r>
    </w:p>
    <w:p w:rsidR="00907468" w:rsidRDefault="00907468" w:rsidP="00942DA7">
      <w:pPr>
        <w:spacing w:line="360" w:lineRule="auto"/>
        <w:jc w:val="both"/>
        <w:rPr>
          <w:rFonts w:ascii="Calibri" w:hAnsi="Calibri"/>
        </w:rPr>
      </w:pPr>
    </w:p>
    <w:p w:rsidR="00002B4E" w:rsidRPr="006179DE" w:rsidRDefault="00002B4E" w:rsidP="00942DA7">
      <w:pPr>
        <w:pStyle w:val="Nadpis1"/>
        <w:numPr>
          <w:ilvl w:val="0"/>
          <w:numId w:val="3"/>
        </w:numPr>
        <w:spacing w:before="0" w:after="0" w:line="360" w:lineRule="auto"/>
        <w:ind w:left="426" w:hanging="426"/>
        <w:rPr>
          <w:rFonts w:ascii="Calibri" w:hAnsi="Calibri" w:cs="Calibri"/>
          <w:sz w:val="20"/>
          <w:szCs w:val="20"/>
        </w:rPr>
      </w:pPr>
      <w:bookmarkStart w:id="53" w:name="_Toc27301001"/>
      <w:r w:rsidRPr="006179DE">
        <w:rPr>
          <w:rFonts w:ascii="Calibri" w:hAnsi="Calibri" w:cs="Calibri"/>
          <w:sz w:val="20"/>
          <w:szCs w:val="20"/>
        </w:rPr>
        <w:t>DOPRAVNÍ ŘEŠENÍ</w:t>
      </w:r>
      <w:bookmarkEnd w:id="53"/>
    </w:p>
    <w:p w:rsidR="00002B4E" w:rsidRPr="006179DE" w:rsidRDefault="00002B4E" w:rsidP="00942DA7">
      <w:pPr>
        <w:pStyle w:val="Nadpis1"/>
        <w:numPr>
          <w:ilvl w:val="2"/>
          <w:numId w:val="8"/>
        </w:numPr>
        <w:spacing w:before="0" w:after="0" w:line="360" w:lineRule="auto"/>
        <w:ind w:left="567" w:hanging="283"/>
        <w:rPr>
          <w:rFonts w:ascii="Calibri" w:hAnsi="Calibri"/>
          <w:color w:val="808080"/>
          <w:sz w:val="20"/>
          <w:szCs w:val="20"/>
        </w:rPr>
      </w:pPr>
      <w:bookmarkStart w:id="54" w:name="_Toc27301002"/>
      <w:r w:rsidRPr="006179DE">
        <w:rPr>
          <w:rFonts w:ascii="Calibri" w:hAnsi="Calibri"/>
          <w:color w:val="808080"/>
          <w:sz w:val="20"/>
          <w:szCs w:val="20"/>
        </w:rPr>
        <w:t>Popis dopravního řešení</w:t>
      </w:r>
      <w:bookmarkEnd w:id="54"/>
    </w:p>
    <w:p w:rsidR="005E2638" w:rsidRDefault="00B81FBD" w:rsidP="005E2638">
      <w:pPr>
        <w:spacing w:line="360" w:lineRule="auto"/>
        <w:jc w:val="both"/>
        <w:rPr>
          <w:rFonts w:asciiTheme="minorHAnsi" w:hAnsiTheme="minorHAnsi" w:cstheme="minorHAnsi"/>
        </w:rPr>
      </w:pPr>
      <w:r>
        <w:rPr>
          <w:rFonts w:asciiTheme="minorHAnsi" w:hAnsiTheme="minorHAnsi" w:cstheme="minorHAnsi"/>
        </w:rPr>
        <w:t>Beze změny.</w:t>
      </w:r>
    </w:p>
    <w:p w:rsidR="00907468" w:rsidRDefault="00907468" w:rsidP="005E2638">
      <w:pPr>
        <w:spacing w:line="360" w:lineRule="auto"/>
        <w:jc w:val="both"/>
        <w:rPr>
          <w:rFonts w:asciiTheme="minorHAnsi" w:hAnsiTheme="minorHAnsi"/>
        </w:rPr>
      </w:pPr>
    </w:p>
    <w:p w:rsidR="00002B4E" w:rsidRPr="006179DE" w:rsidRDefault="00002B4E" w:rsidP="00942DA7">
      <w:pPr>
        <w:pStyle w:val="Nadpis1"/>
        <w:numPr>
          <w:ilvl w:val="2"/>
          <w:numId w:val="8"/>
        </w:numPr>
        <w:spacing w:before="0" w:after="0" w:line="360" w:lineRule="auto"/>
        <w:ind w:left="567" w:hanging="283"/>
        <w:rPr>
          <w:rFonts w:ascii="Calibri" w:hAnsi="Calibri"/>
          <w:color w:val="808080"/>
          <w:sz w:val="20"/>
          <w:szCs w:val="20"/>
        </w:rPr>
      </w:pPr>
      <w:bookmarkStart w:id="55" w:name="_Toc27301003"/>
      <w:r w:rsidRPr="006179DE">
        <w:rPr>
          <w:rFonts w:ascii="Calibri" w:hAnsi="Calibri"/>
          <w:color w:val="808080"/>
          <w:sz w:val="20"/>
          <w:szCs w:val="20"/>
        </w:rPr>
        <w:t>Napojení území na stávající dopravní infrastrukturu</w:t>
      </w:r>
      <w:bookmarkEnd w:id="55"/>
    </w:p>
    <w:p w:rsidR="001647DC" w:rsidRDefault="00B81FBD" w:rsidP="001647DC">
      <w:pPr>
        <w:spacing w:line="360" w:lineRule="auto"/>
        <w:jc w:val="both"/>
        <w:rPr>
          <w:rFonts w:ascii="Calibri" w:hAnsi="Calibri"/>
        </w:rPr>
      </w:pPr>
      <w:r>
        <w:rPr>
          <w:rFonts w:ascii="Calibri" w:hAnsi="Calibri"/>
        </w:rPr>
        <w:t>Beze změny.</w:t>
      </w:r>
    </w:p>
    <w:p w:rsidR="00907468" w:rsidRPr="001647DC" w:rsidRDefault="00907468" w:rsidP="001647DC">
      <w:pPr>
        <w:spacing w:line="360" w:lineRule="auto"/>
        <w:jc w:val="both"/>
        <w:rPr>
          <w:rFonts w:ascii="Calibri" w:hAnsi="Calibri"/>
        </w:rPr>
      </w:pPr>
    </w:p>
    <w:p w:rsidR="00002B4E" w:rsidRPr="006179DE" w:rsidRDefault="00002B4E" w:rsidP="00942DA7">
      <w:pPr>
        <w:pStyle w:val="Nadpis1"/>
        <w:numPr>
          <w:ilvl w:val="2"/>
          <w:numId w:val="8"/>
        </w:numPr>
        <w:spacing w:before="0" w:after="0" w:line="360" w:lineRule="auto"/>
        <w:ind w:left="567" w:hanging="283"/>
        <w:rPr>
          <w:rFonts w:ascii="Calibri" w:hAnsi="Calibri"/>
          <w:color w:val="808080"/>
          <w:sz w:val="20"/>
          <w:szCs w:val="20"/>
        </w:rPr>
      </w:pPr>
      <w:bookmarkStart w:id="56" w:name="_Toc27301004"/>
      <w:r w:rsidRPr="006179DE">
        <w:rPr>
          <w:rFonts w:ascii="Calibri" w:hAnsi="Calibri"/>
          <w:color w:val="808080"/>
          <w:sz w:val="20"/>
          <w:szCs w:val="20"/>
        </w:rPr>
        <w:t>Doprava v klidu</w:t>
      </w:r>
      <w:bookmarkEnd w:id="56"/>
    </w:p>
    <w:p w:rsidR="00B35C9D" w:rsidRDefault="00B81FBD" w:rsidP="00B35C9D">
      <w:pPr>
        <w:spacing w:line="360" w:lineRule="auto"/>
        <w:jc w:val="both"/>
        <w:rPr>
          <w:rFonts w:ascii="Calibri" w:hAnsi="Calibri"/>
        </w:rPr>
      </w:pPr>
      <w:r>
        <w:rPr>
          <w:rFonts w:ascii="Calibri" w:hAnsi="Calibri"/>
        </w:rPr>
        <w:t xml:space="preserve">Neřeší se. </w:t>
      </w:r>
    </w:p>
    <w:p w:rsidR="00907468" w:rsidRPr="00B35C9D" w:rsidRDefault="00907468" w:rsidP="00B35C9D">
      <w:pPr>
        <w:spacing w:line="360" w:lineRule="auto"/>
        <w:jc w:val="both"/>
        <w:rPr>
          <w:rFonts w:ascii="Calibri" w:hAnsi="Calibri"/>
        </w:rPr>
      </w:pPr>
    </w:p>
    <w:p w:rsidR="00002B4E" w:rsidRDefault="00002B4E" w:rsidP="00942DA7">
      <w:pPr>
        <w:pStyle w:val="Nadpis1"/>
        <w:numPr>
          <w:ilvl w:val="2"/>
          <w:numId w:val="8"/>
        </w:numPr>
        <w:spacing w:before="0" w:after="0" w:line="360" w:lineRule="auto"/>
        <w:ind w:left="567" w:hanging="283"/>
        <w:rPr>
          <w:rFonts w:ascii="Calibri" w:hAnsi="Calibri"/>
          <w:color w:val="808080"/>
          <w:sz w:val="20"/>
          <w:szCs w:val="20"/>
        </w:rPr>
      </w:pPr>
      <w:bookmarkStart w:id="57" w:name="_Toc27301005"/>
      <w:r w:rsidRPr="006179DE">
        <w:rPr>
          <w:rFonts w:ascii="Calibri" w:hAnsi="Calibri"/>
          <w:color w:val="808080"/>
          <w:sz w:val="20"/>
          <w:szCs w:val="20"/>
        </w:rPr>
        <w:t>Pěší a cyklistické stezky</w:t>
      </w:r>
      <w:bookmarkEnd w:id="57"/>
    </w:p>
    <w:p w:rsidR="00002B4E" w:rsidRDefault="00B81FBD" w:rsidP="00942DA7">
      <w:pPr>
        <w:spacing w:line="360" w:lineRule="auto"/>
        <w:jc w:val="both"/>
        <w:rPr>
          <w:rFonts w:ascii="Calibri" w:hAnsi="Calibri"/>
        </w:rPr>
      </w:pPr>
      <w:r>
        <w:rPr>
          <w:rFonts w:ascii="Calibri" w:hAnsi="Calibri"/>
        </w:rPr>
        <w:t>Stávající chodník bude obnoven. Nově budou osazeny signální a varovné pásy v souladu s </w:t>
      </w:r>
      <w:proofErr w:type="spellStart"/>
      <w:r>
        <w:rPr>
          <w:rFonts w:ascii="Calibri" w:hAnsi="Calibri"/>
        </w:rPr>
        <w:t>vyhl</w:t>
      </w:r>
      <w:proofErr w:type="spellEnd"/>
      <w:r>
        <w:rPr>
          <w:rFonts w:ascii="Calibri" w:hAnsi="Calibri"/>
        </w:rPr>
        <w:t>. Č. 398/2009 Sb. Cyklostezka není řešena.</w:t>
      </w:r>
    </w:p>
    <w:p w:rsidR="00907468" w:rsidRDefault="00907468" w:rsidP="00942DA7">
      <w:pPr>
        <w:spacing w:line="360" w:lineRule="auto"/>
        <w:jc w:val="both"/>
        <w:rPr>
          <w:rFonts w:ascii="Calibri" w:hAnsi="Calibri"/>
        </w:rPr>
      </w:pPr>
    </w:p>
    <w:p w:rsidR="00002B4E" w:rsidRDefault="00002B4E" w:rsidP="00942DA7">
      <w:pPr>
        <w:pStyle w:val="Nadpis1"/>
        <w:numPr>
          <w:ilvl w:val="0"/>
          <w:numId w:val="3"/>
        </w:numPr>
        <w:spacing w:before="0" w:after="0" w:line="360" w:lineRule="auto"/>
        <w:ind w:left="426" w:hanging="426"/>
        <w:rPr>
          <w:rFonts w:ascii="Calibri" w:hAnsi="Calibri" w:cs="Calibri"/>
          <w:sz w:val="20"/>
          <w:szCs w:val="20"/>
        </w:rPr>
      </w:pPr>
      <w:bookmarkStart w:id="58" w:name="_Toc27301006"/>
      <w:r w:rsidRPr="006179DE">
        <w:rPr>
          <w:rFonts w:ascii="Calibri" w:hAnsi="Calibri" w:cs="Calibri"/>
          <w:sz w:val="20"/>
          <w:szCs w:val="20"/>
        </w:rPr>
        <w:lastRenderedPageBreak/>
        <w:t>ŘEŠENÍ VEGETACE A SOUVISEJÍCÍCH TERÉNNÍCH ÚPRAV</w:t>
      </w:r>
      <w:bookmarkEnd w:id="58"/>
    </w:p>
    <w:p w:rsidR="00DC3993" w:rsidRPr="00DC3993" w:rsidRDefault="00DC3993" w:rsidP="00942DA7">
      <w:pPr>
        <w:pStyle w:val="Nadpis1"/>
        <w:numPr>
          <w:ilvl w:val="2"/>
          <w:numId w:val="23"/>
        </w:numPr>
        <w:spacing w:before="0" w:after="0" w:line="360" w:lineRule="auto"/>
        <w:ind w:left="851"/>
        <w:rPr>
          <w:rFonts w:ascii="Calibri" w:hAnsi="Calibri"/>
          <w:color w:val="808080"/>
          <w:sz w:val="20"/>
          <w:szCs w:val="20"/>
        </w:rPr>
      </w:pPr>
      <w:bookmarkStart w:id="59" w:name="_Toc27301007"/>
      <w:r w:rsidRPr="00DC3993">
        <w:rPr>
          <w:rFonts w:ascii="Calibri" w:hAnsi="Calibri"/>
          <w:color w:val="808080"/>
          <w:sz w:val="20"/>
          <w:szCs w:val="20"/>
        </w:rPr>
        <w:t>T</w:t>
      </w:r>
      <w:r>
        <w:rPr>
          <w:rFonts w:ascii="Calibri" w:hAnsi="Calibri"/>
          <w:color w:val="808080"/>
          <w:sz w:val="20"/>
          <w:szCs w:val="20"/>
        </w:rPr>
        <w:t>e</w:t>
      </w:r>
      <w:r w:rsidRPr="00DC3993">
        <w:rPr>
          <w:rFonts w:ascii="Calibri" w:hAnsi="Calibri"/>
          <w:color w:val="808080"/>
          <w:sz w:val="20"/>
          <w:szCs w:val="20"/>
        </w:rPr>
        <w:t>rénní úpravy</w:t>
      </w:r>
      <w:bookmarkEnd w:id="59"/>
    </w:p>
    <w:p w:rsidR="00907468" w:rsidRPr="00F83024" w:rsidRDefault="00EA7776" w:rsidP="00F83024">
      <w:pPr>
        <w:pStyle w:val="cc"/>
        <w:spacing w:before="0" w:beforeAutospacing="0" w:after="0" w:afterAutospacing="0" w:line="360" w:lineRule="auto"/>
        <w:jc w:val="both"/>
        <w:rPr>
          <w:rFonts w:ascii="Calibri" w:hAnsi="Calibri" w:cs="Tahoma"/>
          <w:sz w:val="20"/>
          <w:szCs w:val="20"/>
        </w:rPr>
      </w:pPr>
      <w:r>
        <w:rPr>
          <w:rFonts w:asciiTheme="minorHAnsi" w:hAnsiTheme="minorHAnsi" w:cs="Tahoma"/>
          <w:sz w:val="20"/>
          <w:szCs w:val="20"/>
        </w:rPr>
        <w:t xml:space="preserve">Není řešeno. </w:t>
      </w:r>
    </w:p>
    <w:p w:rsidR="00DC3993" w:rsidRDefault="00DC3993" w:rsidP="00942DA7">
      <w:pPr>
        <w:pStyle w:val="Nadpis1"/>
        <w:numPr>
          <w:ilvl w:val="2"/>
          <w:numId w:val="23"/>
        </w:numPr>
        <w:spacing w:before="0" w:after="0" w:line="360" w:lineRule="auto"/>
        <w:ind w:left="851"/>
        <w:rPr>
          <w:rFonts w:ascii="Calibri" w:hAnsi="Calibri"/>
          <w:color w:val="808080"/>
          <w:sz w:val="20"/>
          <w:szCs w:val="20"/>
        </w:rPr>
      </w:pPr>
      <w:bookmarkStart w:id="60" w:name="_Toc27301008"/>
      <w:r w:rsidRPr="00DC3993">
        <w:rPr>
          <w:rFonts w:ascii="Calibri" w:hAnsi="Calibri"/>
          <w:color w:val="808080"/>
          <w:sz w:val="20"/>
          <w:szCs w:val="20"/>
        </w:rPr>
        <w:t>Použité vegetační prvky</w:t>
      </w:r>
      <w:bookmarkEnd w:id="60"/>
    </w:p>
    <w:p w:rsidR="00F83024" w:rsidRDefault="00F83024" w:rsidP="00F83024">
      <w:pPr>
        <w:pStyle w:val="cc"/>
        <w:spacing w:before="0" w:beforeAutospacing="0" w:after="0" w:afterAutospacing="0" w:line="360" w:lineRule="auto"/>
        <w:rPr>
          <w:rFonts w:ascii="Calibri" w:hAnsi="Calibri" w:cs="Tahoma"/>
          <w:sz w:val="20"/>
          <w:szCs w:val="20"/>
        </w:rPr>
      </w:pPr>
      <w:r w:rsidRPr="00F83024">
        <w:rPr>
          <w:rFonts w:ascii="Calibri" w:hAnsi="Calibri" w:cs="Tahoma"/>
          <w:sz w:val="20"/>
          <w:szCs w:val="20"/>
        </w:rPr>
        <w:t xml:space="preserve">Všechny zelené plochy kolem </w:t>
      </w:r>
      <w:r w:rsidR="004101EE">
        <w:rPr>
          <w:rFonts w:ascii="Calibri" w:hAnsi="Calibri" w:cs="Tahoma"/>
          <w:sz w:val="20"/>
          <w:szCs w:val="20"/>
        </w:rPr>
        <w:t>komunikací</w:t>
      </w:r>
      <w:r w:rsidRPr="00F83024">
        <w:rPr>
          <w:rFonts w:ascii="Calibri" w:hAnsi="Calibri" w:cs="Tahoma"/>
          <w:sz w:val="20"/>
          <w:szCs w:val="20"/>
        </w:rPr>
        <w:t xml:space="preserve"> budou </w:t>
      </w:r>
      <w:proofErr w:type="spellStart"/>
      <w:r w:rsidRPr="00F83024">
        <w:rPr>
          <w:rFonts w:ascii="Calibri" w:hAnsi="Calibri" w:cs="Tahoma"/>
          <w:sz w:val="20"/>
          <w:szCs w:val="20"/>
        </w:rPr>
        <w:t>ohumusovány</w:t>
      </w:r>
      <w:proofErr w:type="spellEnd"/>
      <w:r w:rsidRPr="00F83024">
        <w:rPr>
          <w:rFonts w:ascii="Calibri" w:hAnsi="Calibri" w:cs="Tahoma"/>
          <w:sz w:val="20"/>
          <w:szCs w:val="20"/>
        </w:rPr>
        <w:t xml:space="preserve"> a zatravněny</w:t>
      </w:r>
      <w:r w:rsidR="00EA7776">
        <w:rPr>
          <w:rFonts w:ascii="Calibri" w:hAnsi="Calibri" w:cs="Tahoma"/>
          <w:sz w:val="20"/>
          <w:szCs w:val="20"/>
        </w:rPr>
        <w:t xml:space="preserve"> v šíři cca 0,5m a </w:t>
      </w:r>
      <w:proofErr w:type="spellStart"/>
      <w:r w:rsidR="00EA7776">
        <w:rPr>
          <w:rFonts w:ascii="Calibri" w:hAnsi="Calibri" w:cs="Tahoma"/>
          <w:sz w:val="20"/>
          <w:szCs w:val="20"/>
        </w:rPr>
        <w:t>tl</w:t>
      </w:r>
      <w:proofErr w:type="spellEnd"/>
      <w:r w:rsidR="00EA7776">
        <w:rPr>
          <w:rFonts w:ascii="Calibri" w:hAnsi="Calibri" w:cs="Tahoma"/>
          <w:sz w:val="20"/>
          <w:szCs w:val="20"/>
        </w:rPr>
        <w:t>. 0,15m</w:t>
      </w:r>
      <w:r w:rsidRPr="00F83024">
        <w:rPr>
          <w:rFonts w:ascii="Calibri" w:hAnsi="Calibri" w:cs="Tahoma"/>
          <w:sz w:val="20"/>
          <w:szCs w:val="20"/>
        </w:rPr>
        <w:t>.</w:t>
      </w:r>
    </w:p>
    <w:p w:rsidR="00907468" w:rsidRPr="00F83024" w:rsidRDefault="00907468" w:rsidP="00F83024">
      <w:pPr>
        <w:pStyle w:val="cc"/>
        <w:spacing w:before="0" w:beforeAutospacing="0" w:after="0" w:afterAutospacing="0" w:line="360" w:lineRule="auto"/>
        <w:rPr>
          <w:rFonts w:ascii="Calibri" w:hAnsi="Calibri" w:cs="Tahoma"/>
          <w:sz w:val="20"/>
          <w:szCs w:val="20"/>
        </w:rPr>
      </w:pPr>
    </w:p>
    <w:p w:rsidR="00DC3993" w:rsidRPr="00DC3993" w:rsidRDefault="00DC3993" w:rsidP="00942DA7">
      <w:pPr>
        <w:pStyle w:val="Nadpis1"/>
        <w:numPr>
          <w:ilvl w:val="2"/>
          <w:numId w:val="23"/>
        </w:numPr>
        <w:spacing w:before="0" w:after="0" w:line="360" w:lineRule="auto"/>
        <w:ind w:left="851"/>
        <w:rPr>
          <w:rFonts w:ascii="Calibri" w:hAnsi="Calibri"/>
          <w:color w:val="808080"/>
          <w:sz w:val="20"/>
          <w:szCs w:val="20"/>
        </w:rPr>
      </w:pPr>
      <w:bookmarkStart w:id="61" w:name="_Toc27301009"/>
      <w:r w:rsidRPr="00DC3993">
        <w:rPr>
          <w:rFonts w:ascii="Calibri" w:hAnsi="Calibri"/>
          <w:color w:val="808080"/>
          <w:sz w:val="20"/>
          <w:szCs w:val="20"/>
        </w:rPr>
        <w:t>Biotechnická, protierozní opatření</w:t>
      </w:r>
      <w:bookmarkEnd w:id="61"/>
    </w:p>
    <w:p w:rsidR="00002B4E" w:rsidRDefault="00DC3993" w:rsidP="00942DA7">
      <w:pPr>
        <w:spacing w:line="360" w:lineRule="auto"/>
        <w:jc w:val="both"/>
        <w:rPr>
          <w:rFonts w:ascii="Calibri" w:hAnsi="Calibri"/>
        </w:rPr>
      </w:pPr>
      <w:r>
        <w:rPr>
          <w:rFonts w:ascii="Calibri" w:hAnsi="Calibri"/>
        </w:rPr>
        <w:t>Není řešeno.</w:t>
      </w:r>
    </w:p>
    <w:p w:rsidR="00907468" w:rsidRDefault="00907468" w:rsidP="00942DA7">
      <w:pPr>
        <w:spacing w:line="360" w:lineRule="auto"/>
        <w:jc w:val="both"/>
        <w:rPr>
          <w:rFonts w:ascii="Calibri" w:hAnsi="Calibri"/>
        </w:rPr>
      </w:pPr>
    </w:p>
    <w:p w:rsidR="00002B4E" w:rsidRPr="006179DE" w:rsidRDefault="00002B4E" w:rsidP="00942DA7">
      <w:pPr>
        <w:pStyle w:val="Nadpis1"/>
        <w:numPr>
          <w:ilvl w:val="0"/>
          <w:numId w:val="3"/>
        </w:numPr>
        <w:spacing w:before="0" w:after="0" w:line="360" w:lineRule="auto"/>
        <w:ind w:left="426" w:hanging="426"/>
        <w:rPr>
          <w:rFonts w:ascii="Calibri" w:hAnsi="Calibri" w:cs="Calibri"/>
          <w:sz w:val="20"/>
          <w:szCs w:val="20"/>
        </w:rPr>
      </w:pPr>
      <w:bookmarkStart w:id="62" w:name="_Toc27301010"/>
      <w:r w:rsidRPr="006179DE">
        <w:rPr>
          <w:rFonts w:ascii="Calibri" w:hAnsi="Calibri" w:cs="Calibri"/>
          <w:sz w:val="20"/>
          <w:szCs w:val="20"/>
        </w:rPr>
        <w:t>POPIS VLIVŮ STAVBY NA ŽIVOTNÍ PROSTŘEDÍ A JEHO OCHRANA</w:t>
      </w:r>
      <w:bookmarkEnd w:id="62"/>
    </w:p>
    <w:p w:rsidR="00002B4E" w:rsidRPr="006179DE" w:rsidRDefault="00002B4E" w:rsidP="00942DA7">
      <w:pPr>
        <w:pStyle w:val="Nadpis1"/>
        <w:numPr>
          <w:ilvl w:val="2"/>
          <w:numId w:val="9"/>
        </w:numPr>
        <w:spacing w:before="0" w:after="0" w:line="360" w:lineRule="auto"/>
        <w:ind w:left="567" w:hanging="283"/>
        <w:rPr>
          <w:rFonts w:ascii="Calibri" w:hAnsi="Calibri"/>
          <w:color w:val="808080"/>
          <w:sz w:val="20"/>
          <w:szCs w:val="20"/>
        </w:rPr>
      </w:pPr>
      <w:bookmarkStart w:id="63" w:name="_Toc27301011"/>
      <w:r w:rsidRPr="006179DE">
        <w:rPr>
          <w:rFonts w:ascii="Calibri" w:hAnsi="Calibri"/>
          <w:color w:val="808080"/>
          <w:sz w:val="20"/>
          <w:szCs w:val="20"/>
        </w:rPr>
        <w:t>Vliv na životní prostředí – ovzduší, hluk, voda, odpady, půda</w:t>
      </w:r>
      <w:bookmarkEnd w:id="63"/>
    </w:p>
    <w:p w:rsidR="00002B4E" w:rsidRDefault="00002B4E" w:rsidP="00942DA7">
      <w:pPr>
        <w:spacing w:line="360" w:lineRule="auto"/>
        <w:jc w:val="both"/>
        <w:rPr>
          <w:rFonts w:ascii="Calibri" w:hAnsi="Calibri"/>
        </w:rPr>
      </w:pPr>
      <w:r w:rsidRPr="0027024C">
        <w:rPr>
          <w:rFonts w:ascii="Calibri" w:hAnsi="Calibri"/>
        </w:rPr>
        <w:t>Stavba nebude mít negativní vliv na jednotlivé složky životního prostředí.</w:t>
      </w:r>
    </w:p>
    <w:p w:rsidR="00907468" w:rsidRDefault="00907468" w:rsidP="00942DA7">
      <w:pPr>
        <w:spacing w:line="360" w:lineRule="auto"/>
        <w:jc w:val="both"/>
        <w:rPr>
          <w:rFonts w:ascii="Calibri" w:hAnsi="Calibri"/>
        </w:rPr>
      </w:pPr>
    </w:p>
    <w:p w:rsidR="00002B4E" w:rsidRPr="006F7F2F" w:rsidRDefault="00002B4E" w:rsidP="00942DA7">
      <w:pPr>
        <w:spacing w:line="360" w:lineRule="auto"/>
        <w:jc w:val="both"/>
        <w:rPr>
          <w:rFonts w:ascii="Calibri" w:hAnsi="Calibri"/>
          <w:b/>
          <w:color w:val="808080"/>
        </w:rPr>
      </w:pPr>
      <w:r w:rsidRPr="006F7F2F">
        <w:rPr>
          <w:rFonts w:ascii="Calibri" w:hAnsi="Calibri"/>
          <w:b/>
          <w:color w:val="808080"/>
        </w:rPr>
        <w:t>Kvalita ovzduší a prašnost:</w:t>
      </w:r>
    </w:p>
    <w:p w:rsidR="00002B4E" w:rsidRPr="003100A0" w:rsidRDefault="00002B4E" w:rsidP="00942DA7">
      <w:pPr>
        <w:spacing w:line="360" w:lineRule="auto"/>
        <w:jc w:val="both"/>
        <w:rPr>
          <w:rFonts w:ascii="Calibri" w:hAnsi="Calibri"/>
        </w:rPr>
      </w:pPr>
      <w:r w:rsidRPr="003100A0">
        <w:rPr>
          <w:rFonts w:ascii="Calibri" w:hAnsi="Calibri"/>
        </w:rPr>
        <w:t xml:space="preserve">Při realizaci stavby lze předpokládat na staveništi a v jeho bezprostřední blízkosti zvýšené emise výfukových plynů a prachu. Prašnost během realizace stavebních prací nutno minimalizovat technologickými opatřeními – především údržbou manipulačních ploch a technologickou kázní. </w:t>
      </w:r>
    </w:p>
    <w:p w:rsidR="00002B4E" w:rsidRPr="003100A0" w:rsidRDefault="00002B4E" w:rsidP="00942DA7">
      <w:pPr>
        <w:pStyle w:val="4ZakladniPGP"/>
        <w:spacing w:line="360" w:lineRule="auto"/>
        <w:ind w:firstLine="0"/>
        <w:jc w:val="both"/>
        <w:rPr>
          <w:rFonts w:ascii="Calibri" w:hAnsi="Calibri" w:cs="Calibri"/>
          <w:i/>
          <w:sz w:val="20"/>
          <w:szCs w:val="20"/>
          <w:u w:val="single"/>
        </w:rPr>
      </w:pPr>
      <w:r w:rsidRPr="003100A0">
        <w:rPr>
          <w:rFonts w:ascii="Calibri" w:hAnsi="Calibri" w:cs="Calibri"/>
          <w:i/>
          <w:sz w:val="20"/>
          <w:szCs w:val="20"/>
          <w:u w:val="single"/>
        </w:rPr>
        <w:t>Při stavebních pracích je nutno zajistit následující opatření ke snížení prašnosti:</w:t>
      </w:r>
    </w:p>
    <w:p w:rsidR="00002B4E" w:rsidRPr="003100A0" w:rsidRDefault="00002B4E" w:rsidP="00942DA7">
      <w:pPr>
        <w:pStyle w:val="4ZakladniPGP"/>
        <w:numPr>
          <w:ilvl w:val="0"/>
          <w:numId w:val="14"/>
        </w:numPr>
        <w:spacing w:before="0" w:line="360" w:lineRule="auto"/>
        <w:jc w:val="both"/>
        <w:rPr>
          <w:rFonts w:ascii="Calibri" w:hAnsi="Calibri" w:cs="Calibri"/>
          <w:sz w:val="20"/>
          <w:szCs w:val="20"/>
        </w:rPr>
      </w:pPr>
      <w:r w:rsidRPr="003100A0">
        <w:rPr>
          <w:rFonts w:ascii="Calibri" w:hAnsi="Calibri" w:cs="Calibri"/>
          <w:sz w:val="20"/>
          <w:szCs w:val="20"/>
        </w:rPr>
        <w:t>K bourání bude použito takových postupů a prostředků, které zajistí minimální produkci prachu do ovzduší</w:t>
      </w:r>
    </w:p>
    <w:p w:rsidR="00002B4E" w:rsidRPr="003100A0" w:rsidRDefault="00002B4E" w:rsidP="00942DA7">
      <w:pPr>
        <w:pStyle w:val="4ZakladniPGP"/>
        <w:numPr>
          <w:ilvl w:val="0"/>
          <w:numId w:val="14"/>
        </w:numPr>
        <w:spacing w:before="0" w:line="360" w:lineRule="auto"/>
        <w:jc w:val="both"/>
        <w:rPr>
          <w:rFonts w:ascii="Calibri" w:hAnsi="Calibri" w:cs="Calibri"/>
          <w:sz w:val="20"/>
          <w:szCs w:val="20"/>
        </w:rPr>
      </w:pPr>
      <w:r w:rsidRPr="003100A0">
        <w:rPr>
          <w:rFonts w:ascii="Calibri" w:hAnsi="Calibri" w:cs="Calibri"/>
          <w:sz w:val="20"/>
          <w:szCs w:val="20"/>
        </w:rPr>
        <w:t>Po dobu veškerých demoličních, výkopových a ostatních prací je potřeba používat vozidla stavební mechanizmy, které splňují příslušné emisní limity na základě platné legislativy pro mobilní zdroje.</w:t>
      </w:r>
    </w:p>
    <w:p w:rsidR="00002B4E" w:rsidRPr="003100A0" w:rsidRDefault="00002B4E" w:rsidP="00942DA7">
      <w:pPr>
        <w:pStyle w:val="4ZakladniPGP"/>
        <w:numPr>
          <w:ilvl w:val="0"/>
          <w:numId w:val="14"/>
        </w:numPr>
        <w:spacing w:before="0" w:line="360" w:lineRule="auto"/>
        <w:jc w:val="both"/>
        <w:rPr>
          <w:rFonts w:ascii="Calibri" w:hAnsi="Calibri" w:cs="Calibri"/>
          <w:sz w:val="20"/>
          <w:szCs w:val="20"/>
        </w:rPr>
      </w:pPr>
      <w:r w:rsidRPr="003100A0">
        <w:rPr>
          <w:rFonts w:ascii="Calibri" w:hAnsi="Calibri" w:cs="Calibri"/>
          <w:sz w:val="20"/>
          <w:szCs w:val="20"/>
        </w:rPr>
        <w:t>Nesmí být spalovány jakékoliv odpady včetně bioodpadu.</w:t>
      </w:r>
    </w:p>
    <w:p w:rsidR="00002B4E" w:rsidRPr="003100A0" w:rsidRDefault="00002B4E" w:rsidP="00942DA7">
      <w:pPr>
        <w:pStyle w:val="4ZakladniPGP"/>
        <w:numPr>
          <w:ilvl w:val="0"/>
          <w:numId w:val="14"/>
        </w:numPr>
        <w:spacing w:before="0" w:line="360" w:lineRule="auto"/>
        <w:jc w:val="both"/>
        <w:rPr>
          <w:rFonts w:ascii="Calibri" w:hAnsi="Calibri" w:cs="Calibri"/>
          <w:sz w:val="20"/>
          <w:szCs w:val="20"/>
        </w:rPr>
      </w:pPr>
      <w:r w:rsidRPr="003100A0">
        <w:rPr>
          <w:rFonts w:ascii="Calibri" w:hAnsi="Calibri" w:cs="Calibri"/>
          <w:sz w:val="20"/>
          <w:szCs w:val="20"/>
        </w:rPr>
        <w:t xml:space="preserve">Při veškeré stavební činnosti a při manipulaci se sypkými materiály je nutné eliminovat produkci prachu do ovzduší. Skladovaný prašný materiál bude řádně zakryt a při manipulaci s ním bude pokud možno zkrápěn vodou, aby se zamezilo nadměrné prašnosti. Materiály, u nichž je vysoké riziko prášení, musí být uloženy ve vhodných uzavíratelných obalech nebo musí být skladovány nejlépe v krytých prostorech. Důležité je jejich co nejrychlejší zpracování. Nepotřebné zbytky se musí co nejdříve odvést ze staveniště. </w:t>
      </w:r>
    </w:p>
    <w:p w:rsidR="00002B4E" w:rsidRPr="003100A0" w:rsidRDefault="00002B4E" w:rsidP="00942DA7">
      <w:pPr>
        <w:pStyle w:val="4ZakladniPGP"/>
        <w:numPr>
          <w:ilvl w:val="0"/>
          <w:numId w:val="14"/>
        </w:numPr>
        <w:spacing w:before="0" w:line="360" w:lineRule="auto"/>
        <w:jc w:val="both"/>
        <w:rPr>
          <w:rFonts w:ascii="Calibri" w:hAnsi="Calibri" w:cs="Calibri"/>
          <w:sz w:val="20"/>
          <w:szCs w:val="20"/>
        </w:rPr>
      </w:pPr>
      <w:r w:rsidRPr="003100A0">
        <w:rPr>
          <w:rFonts w:ascii="Calibri" w:hAnsi="Calibri" w:cs="Calibri"/>
          <w:sz w:val="20"/>
          <w:szCs w:val="20"/>
        </w:rPr>
        <w:t>Vozidla vyjíždějící ze stavby musí být řádně očištěna, aby nedocházelo ke znečišťování veřejných komunikací</w:t>
      </w:r>
    </w:p>
    <w:p w:rsidR="00002B4E" w:rsidRPr="003100A0" w:rsidRDefault="00002B4E" w:rsidP="00942DA7">
      <w:pPr>
        <w:pStyle w:val="4ZakladniPGP"/>
        <w:numPr>
          <w:ilvl w:val="0"/>
          <w:numId w:val="14"/>
        </w:numPr>
        <w:spacing w:before="0" w:line="360" w:lineRule="auto"/>
        <w:jc w:val="both"/>
        <w:rPr>
          <w:rFonts w:ascii="Calibri" w:hAnsi="Calibri" w:cs="Calibri"/>
          <w:sz w:val="20"/>
          <w:szCs w:val="20"/>
        </w:rPr>
      </w:pPr>
      <w:r w:rsidRPr="003100A0">
        <w:rPr>
          <w:rFonts w:ascii="Calibri" w:hAnsi="Calibri" w:cs="Calibri"/>
          <w:sz w:val="20"/>
          <w:szCs w:val="20"/>
        </w:rPr>
        <w:t>Případné znečištění vozovky musí být bez průtahů odstraněno a vozovka uvedena do původního stavu</w:t>
      </w:r>
    </w:p>
    <w:p w:rsidR="00002B4E" w:rsidRPr="003100A0" w:rsidRDefault="00002B4E" w:rsidP="00942DA7">
      <w:pPr>
        <w:pStyle w:val="4ZakladniPGP"/>
        <w:numPr>
          <w:ilvl w:val="0"/>
          <w:numId w:val="14"/>
        </w:numPr>
        <w:spacing w:before="0" w:line="360" w:lineRule="auto"/>
        <w:jc w:val="both"/>
        <w:rPr>
          <w:rFonts w:ascii="Calibri" w:hAnsi="Calibri" w:cs="Calibri"/>
          <w:sz w:val="20"/>
          <w:szCs w:val="20"/>
        </w:rPr>
      </w:pPr>
      <w:r w:rsidRPr="003100A0">
        <w:rPr>
          <w:rFonts w:ascii="Calibri" w:hAnsi="Calibri" w:cs="Calibri"/>
          <w:sz w:val="20"/>
          <w:szCs w:val="20"/>
        </w:rPr>
        <w:t>Vozidla dopravující sypké materiály musí používat k zakrytí hmot plachty</w:t>
      </w:r>
    </w:p>
    <w:p w:rsidR="00002B4E" w:rsidRPr="003100A0" w:rsidRDefault="00002B4E" w:rsidP="00942DA7">
      <w:pPr>
        <w:pStyle w:val="4ZakladniPGP"/>
        <w:numPr>
          <w:ilvl w:val="0"/>
          <w:numId w:val="14"/>
        </w:numPr>
        <w:spacing w:before="0" w:line="360" w:lineRule="auto"/>
        <w:jc w:val="both"/>
        <w:rPr>
          <w:rFonts w:ascii="Calibri" w:hAnsi="Calibri" w:cs="Calibri"/>
          <w:sz w:val="20"/>
          <w:szCs w:val="20"/>
        </w:rPr>
      </w:pPr>
      <w:r w:rsidRPr="003100A0">
        <w:rPr>
          <w:rFonts w:ascii="Calibri" w:hAnsi="Calibri" w:cs="Calibri"/>
          <w:sz w:val="20"/>
          <w:szCs w:val="20"/>
        </w:rPr>
        <w:t xml:space="preserve">Odkrytou stavební plochu je nutno v případě zvýšené prašnosti zkrápět. V suchém období se kropí jak prostor zemních prací, tak staveništní komunikace a to i několikrát denně. Pravidelným skrápěním, </w:t>
      </w:r>
      <w:r w:rsidRPr="003100A0">
        <w:rPr>
          <w:rFonts w:ascii="Calibri" w:hAnsi="Calibri" w:cs="Calibri"/>
          <w:sz w:val="20"/>
          <w:szCs w:val="20"/>
        </w:rPr>
        <w:lastRenderedPageBreak/>
        <w:t>údržbou komunikací a manipulačních ploch se sekundární prašnosti maximálně zamezí.</w:t>
      </w:r>
    </w:p>
    <w:p w:rsidR="00002B4E" w:rsidRPr="003100A0" w:rsidRDefault="00002B4E" w:rsidP="00942DA7">
      <w:pPr>
        <w:pStyle w:val="4ZakladniPGP"/>
        <w:numPr>
          <w:ilvl w:val="0"/>
          <w:numId w:val="14"/>
        </w:numPr>
        <w:spacing w:before="0" w:line="360" w:lineRule="auto"/>
        <w:jc w:val="both"/>
        <w:rPr>
          <w:rFonts w:ascii="Calibri" w:hAnsi="Calibri" w:cs="Calibri"/>
          <w:sz w:val="20"/>
          <w:szCs w:val="20"/>
        </w:rPr>
      </w:pPr>
      <w:r w:rsidRPr="003100A0">
        <w:rPr>
          <w:rFonts w:ascii="Calibri" w:hAnsi="Calibri" w:cs="Calibri"/>
          <w:sz w:val="20"/>
          <w:szCs w:val="20"/>
        </w:rPr>
        <w:t>Stavebník je povinen před výjezdem vozidel stavby na veřejnou komunikaci vybudovat na vlastním pozemku oklepovou – mycí rampu.</w:t>
      </w:r>
    </w:p>
    <w:p w:rsidR="00002B4E" w:rsidRPr="003100A0" w:rsidRDefault="00002B4E" w:rsidP="00942DA7">
      <w:pPr>
        <w:pStyle w:val="4ZakladniPGP"/>
        <w:spacing w:before="0" w:line="360" w:lineRule="auto"/>
        <w:ind w:firstLine="0"/>
        <w:jc w:val="both"/>
        <w:rPr>
          <w:rFonts w:ascii="Calibri" w:hAnsi="Calibri" w:cs="Calibri"/>
          <w:sz w:val="20"/>
          <w:szCs w:val="20"/>
        </w:rPr>
      </w:pPr>
      <w:r w:rsidRPr="003100A0">
        <w:rPr>
          <w:rFonts w:ascii="Calibri" w:hAnsi="Calibri" w:cs="Calibri"/>
          <w:sz w:val="20"/>
          <w:szCs w:val="20"/>
        </w:rPr>
        <w:t>Vlastní opatření budou záviset na povětrnostních podmínkách a v rámci výstavby budou k tomu přijímána patřičná opatření.</w:t>
      </w:r>
    </w:p>
    <w:p w:rsidR="00002B4E" w:rsidRDefault="00002B4E" w:rsidP="00942DA7">
      <w:pPr>
        <w:spacing w:line="360" w:lineRule="auto"/>
        <w:jc w:val="both"/>
        <w:rPr>
          <w:rFonts w:ascii="Calibri" w:hAnsi="Calibri"/>
        </w:rPr>
      </w:pPr>
      <w:r w:rsidRPr="003100A0">
        <w:rPr>
          <w:rFonts w:ascii="Calibri" w:hAnsi="Calibri"/>
        </w:rPr>
        <w:t>Provoz zařízení staveniště bude pouze dočasný do doby dokončení vlastní stavby.</w:t>
      </w:r>
    </w:p>
    <w:p w:rsidR="00907468" w:rsidRPr="003100A0" w:rsidRDefault="00907468" w:rsidP="00942DA7">
      <w:pPr>
        <w:spacing w:line="360" w:lineRule="auto"/>
        <w:jc w:val="both"/>
        <w:rPr>
          <w:rFonts w:ascii="Calibri" w:hAnsi="Calibri"/>
        </w:rPr>
      </w:pPr>
    </w:p>
    <w:p w:rsidR="00002B4E" w:rsidRPr="003100A0" w:rsidRDefault="00002B4E" w:rsidP="00942DA7">
      <w:pPr>
        <w:spacing w:line="360" w:lineRule="auto"/>
        <w:jc w:val="both"/>
        <w:rPr>
          <w:rFonts w:ascii="Calibri" w:hAnsi="Calibri"/>
          <w:i/>
          <w:u w:val="single"/>
        </w:rPr>
      </w:pPr>
      <w:r w:rsidRPr="003100A0">
        <w:rPr>
          <w:rFonts w:ascii="Calibri" w:hAnsi="Calibri"/>
          <w:i/>
          <w:u w:val="single"/>
        </w:rPr>
        <w:t>Prašnost během provozu:</w:t>
      </w:r>
    </w:p>
    <w:p w:rsidR="00B01337" w:rsidRDefault="00E74147" w:rsidP="00B01337">
      <w:pPr>
        <w:spacing w:line="360" w:lineRule="auto"/>
        <w:jc w:val="both"/>
        <w:rPr>
          <w:rFonts w:ascii="Calibri" w:hAnsi="Calibri"/>
        </w:rPr>
      </w:pPr>
      <w:r>
        <w:rPr>
          <w:rFonts w:ascii="Calibri" w:hAnsi="Calibri"/>
        </w:rPr>
        <w:t>N</w:t>
      </w:r>
      <w:r w:rsidR="004C0D2D">
        <w:rPr>
          <w:rFonts w:ascii="Calibri" w:hAnsi="Calibri"/>
        </w:rPr>
        <w:t>epředpokládá se zvýšení prašnosti</w:t>
      </w:r>
      <w:r w:rsidR="00B01337" w:rsidRPr="00B01337">
        <w:rPr>
          <w:rFonts w:ascii="Calibri" w:hAnsi="Calibri"/>
        </w:rPr>
        <w:t>.</w:t>
      </w:r>
    </w:p>
    <w:p w:rsidR="00907468" w:rsidRPr="00B01337" w:rsidRDefault="00907468" w:rsidP="00B01337">
      <w:pPr>
        <w:spacing w:line="360" w:lineRule="auto"/>
        <w:jc w:val="both"/>
        <w:rPr>
          <w:rFonts w:ascii="Calibri" w:hAnsi="Calibri"/>
        </w:rPr>
      </w:pPr>
    </w:p>
    <w:p w:rsidR="00002B4E" w:rsidRPr="006F7F2F" w:rsidRDefault="00002B4E" w:rsidP="00942DA7">
      <w:pPr>
        <w:spacing w:line="360" w:lineRule="auto"/>
        <w:jc w:val="both"/>
        <w:rPr>
          <w:rFonts w:ascii="Calibri" w:hAnsi="Calibri"/>
          <w:b/>
          <w:color w:val="808080"/>
        </w:rPr>
      </w:pPr>
      <w:r w:rsidRPr="006F7F2F">
        <w:rPr>
          <w:rFonts w:ascii="Calibri" w:hAnsi="Calibri"/>
          <w:b/>
          <w:color w:val="808080"/>
        </w:rPr>
        <w:t>Hluk:</w:t>
      </w:r>
    </w:p>
    <w:p w:rsidR="00002B4E" w:rsidRDefault="000B61A7" w:rsidP="00942DA7">
      <w:pPr>
        <w:spacing w:line="360" w:lineRule="auto"/>
        <w:jc w:val="both"/>
        <w:rPr>
          <w:rFonts w:ascii="Calibri" w:hAnsi="Calibri"/>
        </w:rPr>
      </w:pPr>
      <w:r w:rsidRPr="00207D0C">
        <w:rPr>
          <w:rFonts w:ascii="Calibri" w:hAnsi="Calibri"/>
        </w:rPr>
        <w:t>Provozem nebudou překračovány limitní hodnoty ekvivalentní hladiny hluku pro danou lokalitu v denní době. Zvýšené hlukové zatížení se očekává v průběhu stavby. Po realizaci příslušných organizačních opatření se však nepředpokládá překročení limitních hodnot hluku ze stavební činnosti.</w:t>
      </w:r>
      <w:r w:rsidR="00002B4E" w:rsidRPr="0027024C">
        <w:rPr>
          <w:rFonts w:ascii="Calibri" w:hAnsi="Calibri"/>
        </w:rPr>
        <w:t xml:space="preserve"> </w:t>
      </w:r>
    </w:p>
    <w:p w:rsidR="00907468" w:rsidRPr="0027024C" w:rsidRDefault="00907468" w:rsidP="00942DA7">
      <w:pPr>
        <w:spacing w:line="360" w:lineRule="auto"/>
        <w:jc w:val="both"/>
        <w:rPr>
          <w:rFonts w:ascii="Calibri" w:hAnsi="Calibri"/>
        </w:rPr>
      </w:pPr>
    </w:p>
    <w:p w:rsidR="00002B4E" w:rsidRPr="006F7F2F" w:rsidRDefault="00002B4E" w:rsidP="00942DA7">
      <w:pPr>
        <w:spacing w:line="360" w:lineRule="auto"/>
        <w:jc w:val="both"/>
        <w:rPr>
          <w:rFonts w:ascii="Calibri" w:hAnsi="Calibri"/>
          <w:b/>
          <w:color w:val="808080"/>
        </w:rPr>
      </w:pPr>
      <w:r w:rsidRPr="006F7F2F">
        <w:rPr>
          <w:rFonts w:ascii="Calibri" w:hAnsi="Calibri"/>
          <w:b/>
          <w:color w:val="808080"/>
        </w:rPr>
        <w:t>Voda:</w:t>
      </w:r>
    </w:p>
    <w:p w:rsidR="00B01337" w:rsidRDefault="00B01337" w:rsidP="00B01337">
      <w:pPr>
        <w:spacing w:line="360" w:lineRule="auto"/>
        <w:jc w:val="both"/>
        <w:rPr>
          <w:rFonts w:asciiTheme="minorHAnsi" w:hAnsiTheme="minorHAnsi" w:cstheme="minorHAnsi"/>
        </w:rPr>
      </w:pPr>
      <w:r w:rsidRPr="00B01337">
        <w:rPr>
          <w:rFonts w:ascii="Calibri" w:hAnsi="Calibri"/>
        </w:rPr>
        <w:t xml:space="preserve">Navrhovaná stavba bude budována s vědomím nutnosti ochrany podzemních a povrchových vod, čemuž odpovídá stavební řešení. </w:t>
      </w:r>
      <w:r w:rsidRPr="00207D0C">
        <w:rPr>
          <w:rFonts w:ascii="Calibri" w:hAnsi="Calibri"/>
        </w:rPr>
        <w:t xml:space="preserve">Vzhledem k charakteru stavby a následného provozu se nepředpokládají změny charakteristiky vodního režimu daného území. </w:t>
      </w:r>
      <w:r w:rsidRPr="00B01337">
        <w:rPr>
          <w:rFonts w:ascii="Calibri" w:hAnsi="Calibri"/>
        </w:rPr>
        <w:t xml:space="preserve">Látky nebezpečné vodám budou při stavbě používány v nejnutnějším omezeném rozsahu a bude zaručeno, že i při případné drobné havárii nedojde k jejich úniku do kanalizace a vodoteče. </w:t>
      </w:r>
      <w:r>
        <w:rPr>
          <w:rFonts w:ascii="Calibri" w:hAnsi="Calibri"/>
        </w:rPr>
        <w:t xml:space="preserve">Při provozu nebude docházet ke znečištění povrchových ani podzemních vod. </w:t>
      </w:r>
    </w:p>
    <w:p w:rsidR="00907468" w:rsidRDefault="00907468" w:rsidP="00B01337">
      <w:pPr>
        <w:spacing w:line="360" w:lineRule="auto"/>
        <w:jc w:val="both"/>
        <w:rPr>
          <w:rFonts w:ascii="Calibri" w:hAnsi="Calibri"/>
        </w:rPr>
      </w:pPr>
    </w:p>
    <w:p w:rsidR="00002B4E" w:rsidRPr="006F7F2F" w:rsidRDefault="00002B4E" w:rsidP="00942DA7">
      <w:pPr>
        <w:spacing w:line="360" w:lineRule="auto"/>
        <w:jc w:val="both"/>
        <w:rPr>
          <w:rFonts w:ascii="Calibri" w:hAnsi="Calibri"/>
          <w:b/>
          <w:color w:val="808080"/>
        </w:rPr>
      </w:pPr>
      <w:r w:rsidRPr="006F7F2F">
        <w:rPr>
          <w:rFonts w:ascii="Calibri" w:hAnsi="Calibri"/>
          <w:b/>
          <w:color w:val="808080"/>
        </w:rPr>
        <w:t>Odpady:</w:t>
      </w:r>
    </w:p>
    <w:p w:rsidR="00B01337" w:rsidRPr="00705B53" w:rsidRDefault="00B01337" w:rsidP="00B01337">
      <w:pPr>
        <w:spacing w:line="360" w:lineRule="auto"/>
        <w:jc w:val="both"/>
        <w:rPr>
          <w:rFonts w:ascii="Calibri" w:hAnsi="Calibri"/>
        </w:rPr>
      </w:pPr>
      <w:r w:rsidRPr="00705B53">
        <w:rPr>
          <w:rFonts w:ascii="Calibri" w:hAnsi="Calibri"/>
        </w:rPr>
        <w:t>Likvidace odpadů - po dobu výstavby:</w:t>
      </w:r>
    </w:p>
    <w:p w:rsidR="00B01337" w:rsidRPr="00440A4C" w:rsidRDefault="00B01337" w:rsidP="00B01337">
      <w:pPr>
        <w:spacing w:line="360" w:lineRule="auto"/>
        <w:jc w:val="both"/>
        <w:rPr>
          <w:rFonts w:ascii="Calibri" w:hAnsi="Calibri"/>
        </w:rPr>
      </w:pPr>
      <w:r w:rsidRPr="00440A4C">
        <w:rPr>
          <w:rFonts w:ascii="Calibri" w:hAnsi="Calibri"/>
        </w:rPr>
        <w:t>K vytváření odpadů, které jsou potencionálním nebezpečím z pohledu ochrany životního prostředí, dochází během výstavby objektů. Ve všech případech se jedná o separované shromažďování produkovaných odpadů a následný odvoz podle smluvních vztahů s jednotlivými specializovanými organizacemi.</w:t>
      </w:r>
      <w:r w:rsidRPr="00440A4C">
        <w:rPr>
          <w:rFonts w:ascii="Calibri" w:hAnsi="Calibri"/>
        </w:rPr>
        <w:tab/>
        <w:t xml:space="preserve">      </w:t>
      </w:r>
    </w:p>
    <w:tbl>
      <w:tblPr>
        <w:tblW w:w="0" w:type="auto"/>
        <w:tblInd w:w="70" w:type="dxa"/>
        <w:tblBorders>
          <w:top w:val="thinThickSmallGap" w:sz="12" w:space="0" w:color="auto"/>
          <w:left w:val="thinThickSmallGap" w:sz="12" w:space="0" w:color="auto"/>
          <w:bottom w:val="thickThinSmallGap" w:sz="12" w:space="0" w:color="auto"/>
          <w:right w:val="thickThinSmallGap" w:sz="12" w:space="0" w:color="auto"/>
        </w:tblBorders>
        <w:tblLayout w:type="fixed"/>
        <w:tblCellMar>
          <w:left w:w="70" w:type="dxa"/>
          <w:right w:w="70" w:type="dxa"/>
        </w:tblCellMar>
        <w:tblLook w:val="0000" w:firstRow="0" w:lastRow="0" w:firstColumn="0" w:lastColumn="0" w:noHBand="0" w:noVBand="0"/>
      </w:tblPr>
      <w:tblGrid>
        <w:gridCol w:w="1418"/>
        <w:gridCol w:w="6237"/>
        <w:gridCol w:w="1417"/>
      </w:tblGrid>
      <w:tr w:rsidR="00B01337" w:rsidRPr="00440A4C" w:rsidTr="00495DBF">
        <w:tc>
          <w:tcPr>
            <w:tcW w:w="1418" w:type="dxa"/>
            <w:tcBorders>
              <w:bottom w:val="nil"/>
              <w:right w:val="nil"/>
            </w:tcBorders>
          </w:tcPr>
          <w:p w:rsidR="00B01337" w:rsidRPr="00440A4C" w:rsidRDefault="00B01337" w:rsidP="00495DBF">
            <w:pPr>
              <w:jc w:val="both"/>
              <w:rPr>
                <w:rFonts w:ascii="Calibri" w:hAnsi="Calibri"/>
              </w:rPr>
            </w:pPr>
            <w:r w:rsidRPr="00440A4C">
              <w:rPr>
                <w:rFonts w:ascii="Calibri" w:hAnsi="Calibri"/>
              </w:rPr>
              <w:t>Kód druhu odpadu</w:t>
            </w:r>
          </w:p>
        </w:tc>
        <w:tc>
          <w:tcPr>
            <w:tcW w:w="6237" w:type="dxa"/>
            <w:tcBorders>
              <w:top w:val="thinThickSmallGap" w:sz="12" w:space="0" w:color="auto"/>
              <w:left w:val="single" w:sz="4" w:space="0" w:color="auto"/>
              <w:bottom w:val="nil"/>
              <w:right w:val="single" w:sz="4" w:space="0" w:color="auto"/>
            </w:tcBorders>
          </w:tcPr>
          <w:p w:rsidR="00B01337" w:rsidRPr="00440A4C" w:rsidRDefault="00B01337" w:rsidP="00495DBF">
            <w:pPr>
              <w:jc w:val="both"/>
              <w:rPr>
                <w:rFonts w:ascii="Calibri" w:hAnsi="Calibri"/>
              </w:rPr>
            </w:pPr>
            <w:r w:rsidRPr="00440A4C">
              <w:rPr>
                <w:rFonts w:ascii="Calibri" w:hAnsi="Calibri"/>
              </w:rPr>
              <w:t>Název druhu odpadu</w:t>
            </w:r>
          </w:p>
        </w:tc>
        <w:tc>
          <w:tcPr>
            <w:tcW w:w="1417" w:type="dxa"/>
            <w:tcBorders>
              <w:left w:val="nil"/>
              <w:bottom w:val="nil"/>
            </w:tcBorders>
          </w:tcPr>
          <w:p w:rsidR="00B01337" w:rsidRPr="00440A4C" w:rsidRDefault="00B01337" w:rsidP="00495DBF">
            <w:pPr>
              <w:jc w:val="both"/>
              <w:rPr>
                <w:rFonts w:ascii="Calibri" w:hAnsi="Calibri"/>
              </w:rPr>
            </w:pPr>
            <w:r w:rsidRPr="00440A4C">
              <w:rPr>
                <w:rFonts w:ascii="Calibri" w:hAnsi="Calibri"/>
              </w:rPr>
              <w:t>Kategorie odpadu</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03 01 04</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Hobliny, odřezky, dřevěná deska, </w:t>
            </w:r>
            <w:proofErr w:type="spellStart"/>
            <w:r w:rsidRPr="00440A4C">
              <w:rPr>
                <w:rFonts w:ascii="Calibri" w:hAnsi="Calibri"/>
              </w:rPr>
              <w:t>dřevotř</w:t>
            </w:r>
            <w:proofErr w:type="spellEnd"/>
            <w:r w:rsidRPr="00440A4C">
              <w:rPr>
                <w:rFonts w:ascii="Calibri" w:hAnsi="Calibri"/>
              </w:rPr>
              <w:t xml:space="preserve">. </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N</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03 01 05</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Piliny, hobliny, </w:t>
            </w:r>
            <w:proofErr w:type="spellStart"/>
            <w:proofErr w:type="gramStart"/>
            <w:r w:rsidRPr="00440A4C">
              <w:rPr>
                <w:rFonts w:ascii="Calibri" w:hAnsi="Calibri"/>
              </w:rPr>
              <w:t>dřevo,neuvedené</w:t>
            </w:r>
            <w:proofErr w:type="spellEnd"/>
            <w:proofErr w:type="gramEnd"/>
            <w:r w:rsidRPr="00440A4C">
              <w:rPr>
                <w:rFonts w:ascii="Calibri" w:hAnsi="Calibri"/>
              </w:rPr>
              <w:t xml:space="preserve"> pod 03 01 04</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13 05 02</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Kaly z odlučovačů oleje</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N</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13 05 06</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Olej z odlučovače oleje</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N</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13 05 08</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Směsi odpadů z lapáků písku a odlučovačů oleje </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N</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15 01 01</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Papírové a lepenkové obaly</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15 01 02</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Plastové obaly </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15 01 03</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Dřevěné obaly</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15 01 04</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Kovové obaly</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15 01 10</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Obaly obsahující zbytky nebezpečných látek nebo obaly těmito látkami </w:t>
            </w:r>
            <w:r w:rsidRPr="00440A4C">
              <w:rPr>
                <w:rFonts w:ascii="Calibri" w:hAnsi="Calibri"/>
              </w:rPr>
              <w:lastRenderedPageBreak/>
              <w:t>znečištěné</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lastRenderedPageBreak/>
              <w:t>N</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15 02 02</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Absorpční činidla, </w:t>
            </w:r>
            <w:proofErr w:type="spellStart"/>
            <w:r w:rsidRPr="00440A4C">
              <w:rPr>
                <w:rFonts w:ascii="Calibri" w:hAnsi="Calibri"/>
              </w:rPr>
              <w:t>filtr.mat</w:t>
            </w:r>
            <w:proofErr w:type="spellEnd"/>
            <w:r w:rsidRPr="00440A4C">
              <w:rPr>
                <w:rFonts w:ascii="Calibri" w:hAnsi="Calibri"/>
              </w:rPr>
              <w:t xml:space="preserve">., </w:t>
            </w:r>
            <w:proofErr w:type="gramStart"/>
            <w:r w:rsidRPr="00440A4C">
              <w:rPr>
                <w:rFonts w:ascii="Calibri" w:hAnsi="Calibri"/>
              </w:rPr>
              <w:t>čistící  tkaniny</w:t>
            </w:r>
            <w:proofErr w:type="gramEnd"/>
            <w:r w:rsidRPr="00440A4C">
              <w:rPr>
                <w:rFonts w:ascii="Calibri" w:hAnsi="Calibri"/>
              </w:rPr>
              <w:t xml:space="preserve"> znečištěné nebezpečnými látkami</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N</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17 01 01</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Beton</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17 01 02</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Cihly</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17 01 03</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Tašky a keramické výrobky </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17 01 06</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Směsi nebo oddělené frakce betonu, cihel, tašek a </w:t>
            </w:r>
            <w:proofErr w:type="spellStart"/>
            <w:r w:rsidRPr="00440A4C">
              <w:rPr>
                <w:rFonts w:ascii="Calibri" w:hAnsi="Calibri"/>
              </w:rPr>
              <w:t>keram.výrobků</w:t>
            </w:r>
            <w:proofErr w:type="spellEnd"/>
            <w:r w:rsidRPr="00440A4C">
              <w:rPr>
                <w:rFonts w:ascii="Calibri" w:hAnsi="Calibri"/>
              </w:rPr>
              <w:t xml:space="preserve"> obsahující nebezpečné látky</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N</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17 01 07</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Směsi nebo oddělené frakce betonu, cihel, tašek a </w:t>
            </w:r>
            <w:proofErr w:type="spellStart"/>
            <w:r w:rsidRPr="00440A4C">
              <w:rPr>
                <w:rFonts w:ascii="Calibri" w:hAnsi="Calibri"/>
              </w:rPr>
              <w:t>keram.výrobků</w:t>
            </w:r>
            <w:proofErr w:type="spellEnd"/>
            <w:r w:rsidRPr="00440A4C">
              <w:rPr>
                <w:rFonts w:ascii="Calibri" w:hAnsi="Calibri"/>
              </w:rPr>
              <w:t xml:space="preserve"> neobsažené pod číslem 17 01 06</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17 02 01</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Dřevo</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17 02 02</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Sklo</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17 02 03</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Plasty </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17 02 04</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Sklo, plasty a dřevo obsahující nebezpečné látky, nebo nebezpečnými látkami znečištěné</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N</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17 03 01</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Asfaltové směsi obsahující dehet</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N</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17 03 02</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Asfaltové směsi neuvedené pod číslem 17 03 01  </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17 04 04</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Zinek</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17 04 05</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Železo a ocel</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17 04 07</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Směsné kovy</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17 04 09</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Kovový odpad znečištěný nebezpečnými látkami</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N</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17 04 11</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Kabely neuvedené pod 17 04 10</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 xml:space="preserve">17 05 03 </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Zemina a kamení obsahující nebezpečné látky</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N</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17 05 04</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Zemina a kamení neuvedené pod číslem17 05 03   </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17 06 04</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Izolační materiály neuvedené pod čísly 17 06 01 a   17 06 03</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17 09 04</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Směsné stavební a demoliční odpady neuvedené pod čísly 17 09 </w:t>
            </w:r>
            <w:proofErr w:type="gramStart"/>
            <w:r w:rsidRPr="00440A4C">
              <w:rPr>
                <w:rFonts w:ascii="Calibri" w:hAnsi="Calibri"/>
              </w:rPr>
              <w:t>01,  17</w:t>
            </w:r>
            <w:proofErr w:type="gramEnd"/>
            <w:r w:rsidRPr="00440A4C">
              <w:rPr>
                <w:rFonts w:ascii="Calibri" w:hAnsi="Calibri"/>
              </w:rPr>
              <w:t xml:space="preserve"> 09 02 a 17 09 03</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20 01 11</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Textilní materiály </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20 02 01</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Biologicky rozložitelný odpad </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single" w:sz="4" w:space="0" w:color="auto"/>
              <w:bottom w:val="single" w:sz="4" w:space="0" w:color="auto"/>
              <w:right w:val="nil"/>
            </w:tcBorders>
          </w:tcPr>
          <w:p w:rsidR="00B01337" w:rsidRPr="00440A4C" w:rsidRDefault="00B01337" w:rsidP="00495DBF">
            <w:pPr>
              <w:jc w:val="both"/>
              <w:rPr>
                <w:rFonts w:ascii="Calibri" w:hAnsi="Calibri"/>
              </w:rPr>
            </w:pPr>
            <w:r w:rsidRPr="00440A4C">
              <w:rPr>
                <w:rFonts w:ascii="Calibri" w:hAnsi="Calibri"/>
              </w:rPr>
              <w:t>20 03 01</w:t>
            </w:r>
          </w:p>
        </w:tc>
        <w:tc>
          <w:tcPr>
            <w:tcW w:w="6237" w:type="dxa"/>
            <w:tcBorders>
              <w:top w:val="single" w:sz="4" w:space="0" w:color="auto"/>
              <w:left w:val="single" w:sz="4" w:space="0" w:color="auto"/>
              <w:bottom w:val="single" w:sz="4"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Směsný komunální odpad</w:t>
            </w:r>
          </w:p>
        </w:tc>
        <w:tc>
          <w:tcPr>
            <w:tcW w:w="1417" w:type="dxa"/>
            <w:tcBorders>
              <w:top w:val="single" w:sz="4" w:space="0" w:color="auto"/>
              <w:left w:val="nil"/>
              <w:bottom w:val="single" w:sz="4" w:space="0" w:color="auto"/>
            </w:tcBorders>
          </w:tcPr>
          <w:p w:rsidR="00B01337" w:rsidRPr="00440A4C" w:rsidRDefault="00B01337" w:rsidP="00495DBF">
            <w:pPr>
              <w:jc w:val="both"/>
              <w:rPr>
                <w:rFonts w:ascii="Calibri" w:hAnsi="Calibri"/>
              </w:rPr>
            </w:pPr>
            <w:r w:rsidRPr="00440A4C">
              <w:rPr>
                <w:rFonts w:ascii="Calibri" w:hAnsi="Calibri"/>
              </w:rPr>
              <w:t>O</w:t>
            </w:r>
          </w:p>
        </w:tc>
      </w:tr>
      <w:tr w:rsidR="00B01337" w:rsidRPr="00440A4C" w:rsidTr="00495DBF">
        <w:tc>
          <w:tcPr>
            <w:tcW w:w="1418" w:type="dxa"/>
            <w:tcBorders>
              <w:top w:val="nil"/>
              <w:right w:val="nil"/>
            </w:tcBorders>
          </w:tcPr>
          <w:p w:rsidR="00B01337" w:rsidRPr="00440A4C" w:rsidRDefault="00B01337" w:rsidP="00495DBF">
            <w:pPr>
              <w:jc w:val="both"/>
              <w:rPr>
                <w:rFonts w:ascii="Calibri" w:hAnsi="Calibri"/>
              </w:rPr>
            </w:pPr>
            <w:r w:rsidRPr="00440A4C">
              <w:rPr>
                <w:rFonts w:ascii="Calibri" w:hAnsi="Calibri"/>
              </w:rPr>
              <w:t>20 03 04</w:t>
            </w:r>
          </w:p>
        </w:tc>
        <w:tc>
          <w:tcPr>
            <w:tcW w:w="6237" w:type="dxa"/>
            <w:tcBorders>
              <w:top w:val="nil"/>
              <w:left w:val="single" w:sz="4" w:space="0" w:color="auto"/>
              <w:bottom w:val="thickThinSmallGap" w:sz="12" w:space="0" w:color="auto"/>
              <w:right w:val="single" w:sz="4" w:space="0" w:color="auto"/>
            </w:tcBorders>
          </w:tcPr>
          <w:p w:rsidR="00B01337" w:rsidRPr="00440A4C" w:rsidRDefault="00B01337" w:rsidP="00495DBF">
            <w:pPr>
              <w:jc w:val="both"/>
              <w:rPr>
                <w:rFonts w:ascii="Calibri" w:hAnsi="Calibri"/>
              </w:rPr>
            </w:pPr>
            <w:r w:rsidRPr="00440A4C">
              <w:rPr>
                <w:rFonts w:ascii="Calibri" w:hAnsi="Calibri"/>
              </w:rPr>
              <w:t xml:space="preserve">Kal ze septiků, žump a chemických toalet </w:t>
            </w:r>
          </w:p>
        </w:tc>
        <w:tc>
          <w:tcPr>
            <w:tcW w:w="1417" w:type="dxa"/>
            <w:tcBorders>
              <w:top w:val="nil"/>
              <w:left w:val="nil"/>
            </w:tcBorders>
          </w:tcPr>
          <w:p w:rsidR="00B01337" w:rsidRPr="00440A4C" w:rsidRDefault="00B01337" w:rsidP="00495DBF">
            <w:pPr>
              <w:jc w:val="both"/>
              <w:rPr>
                <w:rFonts w:ascii="Calibri" w:hAnsi="Calibri"/>
              </w:rPr>
            </w:pPr>
            <w:r w:rsidRPr="00440A4C">
              <w:rPr>
                <w:rFonts w:ascii="Calibri" w:hAnsi="Calibri"/>
              </w:rPr>
              <w:t>O</w:t>
            </w:r>
          </w:p>
        </w:tc>
      </w:tr>
    </w:tbl>
    <w:p w:rsidR="00876E56" w:rsidRDefault="00876E56" w:rsidP="00B01337">
      <w:pPr>
        <w:spacing w:line="360" w:lineRule="auto"/>
        <w:jc w:val="both"/>
        <w:rPr>
          <w:rFonts w:ascii="Calibri" w:hAnsi="Calibri"/>
        </w:rPr>
      </w:pPr>
    </w:p>
    <w:p w:rsidR="00B01337" w:rsidRDefault="00B01337" w:rsidP="000C6DC8">
      <w:pPr>
        <w:spacing w:line="360" w:lineRule="auto"/>
        <w:jc w:val="both"/>
        <w:rPr>
          <w:rFonts w:ascii="Calibri" w:hAnsi="Calibri"/>
        </w:rPr>
      </w:pPr>
      <w:r w:rsidRPr="00440A4C">
        <w:rPr>
          <w:rFonts w:ascii="Calibri" w:hAnsi="Calibri"/>
        </w:rPr>
        <w:t xml:space="preserve">Nakládání s odpady bude zajištěno dodavatelem stavby jako původcem odpadu. Výše uvedené druhy odpadů budou shromažďovány odděleně v odpovídajících sběrných nádobách. </w:t>
      </w:r>
    </w:p>
    <w:p w:rsidR="00876E56" w:rsidRPr="00440A4C" w:rsidRDefault="00876E56" w:rsidP="00B01337">
      <w:pPr>
        <w:spacing w:line="360" w:lineRule="auto"/>
        <w:jc w:val="both"/>
        <w:rPr>
          <w:rFonts w:ascii="Calibri" w:hAnsi="Calibri"/>
        </w:rPr>
      </w:pPr>
    </w:p>
    <w:p w:rsidR="00002B4E" w:rsidRPr="006F7F2F" w:rsidRDefault="00002B4E" w:rsidP="00942DA7">
      <w:pPr>
        <w:spacing w:line="360" w:lineRule="auto"/>
        <w:jc w:val="both"/>
        <w:rPr>
          <w:rFonts w:ascii="Calibri" w:hAnsi="Calibri"/>
          <w:b/>
          <w:color w:val="808080"/>
        </w:rPr>
      </w:pPr>
      <w:r w:rsidRPr="006F7F2F">
        <w:rPr>
          <w:rFonts w:ascii="Calibri" w:hAnsi="Calibri"/>
          <w:b/>
          <w:color w:val="808080"/>
        </w:rPr>
        <w:t>Půda:</w:t>
      </w:r>
    </w:p>
    <w:p w:rsidR="00B01337" w:rsidRPr="00B01337" w:rsidRDefault="00FE5648" w:rsidP="00B01337">
      <w:pPr>
        <w:spacing w:line="360" w:lineRule="auto"/>
        <w:jc w:val="both"/>
        <w:rPr>
          <w:rFonts w:ascii="Calibri" w:hAnsi="Calibri"/>
          <w:color w:val="FF0000"/>
        </w:rPr>
      </w:pPr>
      <w:r>
        <w:rPr>
          <w:rFonts w:ascii="Calibri" w:hAnsi="Calibri"/>
        </w:rPr>
        <w:t xml:space="preserve">Budou provedeny odkopávky kolem obrub. </w:t>
      </w:r>
    </w:p>
    <w:p w:rsidR="00002B4E" w:rsidRPr="006179DE" w:rsidRDefault="00002B4E" w:rsidP="00942DA7">
      <w:pPr>
        <w:pStyle w:val="Nadpis1"/>
        <w:numPr>
          <w:ilvl w:val="2"/>
          <w:numId w:val="9"/>
        </w:numPr>
        <w:spacing w:before="0" w:after="0" w:line="360" w:lineRule="auto"/>
        <w:ind w:left="567" w:hanging="283"/>
        <w:rPr>
          <w:rFonts w:ascii="Calibri" w:hAnsi="Calibri"/>
          <w:color w:val="808080"/>
          <w:sz w:val="20"/>
          <w:szCs w:val="20"/>
        </w:rPr>
      </w:pPr>
      <w:bookmarkStart w:id="64" w:name="_Toc27301012"/>
      <w:r w:rsidRPr="006179DE">
        <w:rPr>
          <w:rFonts w:ascii="Calibri" w:hAnsi="Calibri"/>
          <w:color w:val="808080"/>
          <w:sz w:val="20"/>
          <w:szCs w:val="20"/>
        </w:rPr>
        <w:t>Vliv na přírodu a krajinu (ochrana dřevin, ochrana památných stromů, ochrana rostlin a živočichů apod.), zachování ekologických funkcí a vazeb v krajině</w:t>
      </w:r>
      <w:bookmarkEnd w:id="64"/>
    </w:p>
    <w:p w:rsidR="00B01337" w:rsidRDefault="00B01337" w:rsidP="00B01337">
      <w:pPr>
        <w:spacing w:line="360" w:lineRule="auto"/>
        <w:jc w:val="both"/>
        <w:rPr>
          <w:rFonts w:ascii="Calibri" w:hAnsi="Calibri"/>
        </w:rPr>
      </w:pPr>
      <w:r w:rsidRPr="00B01337">
        <w:rPr>
          <w:rFonts w:ascii="Calibri" w:hAnsi="Calibri"/>
        </w:rPr>
        <w:t>Z hlediska zákona č. 114/92 Sb. o ochraně přírody a krajiny není území posuzované stavby předmětem plošné ochrany. Žádné památné stromy se v řešeném území nenacházejí.</w:t>
      </w:r>
      <w:r w:rsidRPr="00B01337">
        <w:rPr>
          <w:rFonts w:ascii="Calibri" w:hAnsi="Calibri" w:cs="Calibri"/>
        </w:rPr>
        <w:t xml:space="preserve"> </w:t>
      </w:r>
      <w:r w:rsidRPr="00B01337">
        <w:rPr>
          <w:rFonts w:ascii="Calibri" w:hAnsi="Calibri"/>
        </w:rPr>
        <w:t xml:space="preserve">Realizací </w:t>
      </w:r>
      <w:r w:rsidR="00F67ED6">
        <w:rPr>
          <w:rFonts w:ascii="Calibri" w:hAnsi="Calibri"/>
        </w:rPr>
        <w:t>stavby</w:t>
      </w:r>
      <w:r w:rsidRPr="00B01337">
        <w:rPr>
          <w:rFonts w:ascii="Calibri" w:hAnsi="Calibri"/>
        </w:rPr>
        <w:t xml:space="preserve"> nedojde ke zrušení ekologických funkcí a vazeb v krajině.</w:t>
      </w:r>
    </w:p>
    <w:p w:rsidR="00876E56" w:rsidRPr="00B01337" w:rsidRDefault="00876E56" w:rsidP="00B01337">
      <w:pPr>
        <w:spacing w:line="360" w:lineRule="auto"/>
        <w:jc w:val="both"/>
        <w:rPr>
          <w:rFonts w:ascii="Calibri" w:hAnsi="Calibri"/>
        </w:rPr>
      </w:pPr>
    </w:p>
    <w:p w:rsidR="00002B4E" w:rsidRPr="006179DE" w:rsidRDefault="00002B4E" w:rsidP="00942DA7">
      <w:pPr>
        <w:pStyle w:val="Nadpis1"/>
        <w:numPr>
          <w:ilvl w:val="2"/>
          <w:numId w:val="9"/>
        </w:numPr>
        <w:spacing w:before="0" w:after="0" w:line="360" w:lineRule="auto"/>
        <w:ind w:left="567" w:hanging="283"/>
        <w:rPr>
          <w:rFonts w:ascii="Calibri" w:hAnsi="Calibri"/>
          <w:color w:val="808080"/>
          <w:sz w:val="20"/>
          <w:szCs w:val="20"/>
        </w:rPr>
      </w:pPr>
      <w:bookmarkStart w:id="65" w:name="_Toc27301013"/>
      <w:r w:rsidRPr="006179DE">
        <w:rPr>
          <w:rFonts w:ascii="Calibri" w:hAnsi="Calibri"/>
          <w:color w:val="808080"/>
          <w:sz w:val="20"/>
          <w:szCs w:val="20"/>
        </w:rPr>
        <w:t xml:space="preserve">Vliv na soustavu </w:t>
      </w:r>
      <w:r w:rsidR="00954571">
        <w:rPr>
          <w:rFonts w:ascii="Calibri" w:hAnsi="Calibri"/>
          <w:color w:val="808080"/>
          <w:sz w:val="20"/>
          <w:szCs w:val="20"/>
        </w:rPr>
        <w:t>chráněných</w:t>
      </w:r>
      <w:r w:rsidRPr="006179DE">
        <w:rPr>
          <w:rFonts w:ascii="Calibri" w:hAnsi="Calibri"/>
          <w:color w:val="808080"/>
          <w:sz w:val="20"/>
          <w:szCs w:val="20"/>
        </w:rPr>
        <w:t xml:space="preserve"> území Natura 2000</w:t>
      </w:r>
      <w:bookmarkEnd w:id="65"/>
    </w:p>
    <w:p w:rsidR="00002B4E" w:rsidRDefault="00002B4E" w:rsidP="00942DA7">
      <w:pPr>
        <w:spacing w:line="360" w:lineRule="auto"/>
        <w:jc w:val="both"/>
        <w:rPr>
          <w:rFonts w:ascii="Calibri" w:hAnsi="Calibri"/>
        </w:rPr>
      </w:pPr>
      <w:r w:rsidRPr="004E3B76">
        <w:rPr>
          <w:rFonts w:ascii="Calibri" w:hAnsi="Calibri"/>
        </w:rPr>
        <w:t>Stavba nezasahuje do soustavy chráněných území evropského významu.</w:t>
      </w:r>
    </w:p>
    <w:p w:rsidR="00876E56" w:rsidRDefault="00876E56" w:rsidP="00942DA7">
      <w:pPr>
        <w:spacing w:line="360" w:lineRule="auto"/>
        <w:jc w:val="both"/>
        <w:rPr>
          <w:rFonts w:ascii="Calibri" w:hAnsi="Calibri"/>
        </w:rPr>
      </w:pPr>
    </w:p>
    <w:p w:rsidR="00002B4E" w:rsidRPr="006179DE" w:rsidRDefault="00002B4E" w:rsidP="00942DA7">
      <w:pPr>
        <w:pStyle w:val="Nadpis1"/>
        <w:numPr>
          <w:ilvl w:val="2"/>
          <w:numId w:val="9"/>
        </w:numPr>
        <w:spacing w:before="0" w:after="0" w:line="360" w:lineRule="auto"/>
        <w:ind w:left="567" w:hanging="283"/>
        <w:rPr>
          <w:rFonts w:ascii="Calibri" w:hAnsi="Calibri"/>
          <w:color w:val="808080"/>
          <w:sz w:val="20"/>
          <w:szCs w:val="20"/>
        </w:rPr>
      </w:pPr>
      <w:bookmarkStart w:id="66" w:name="_Toc27301014"/>
      <w:r w:rsidRPr="006179DE">
        <w:rPr>
          <w:rFonts w:ascii="Calibri" w:hAnsi="Calibri"/>
          <w:color w:val="808080"/>
          <w:sz w:val="20"/>
          <w:szCs w:val="20"/>
        </w:rPr>
        <w:t>Návrh zohlednění podmínek ze závěru zjišťovacího řízení EIA</w:t>
      </w:r>
      <w:bookmarkEnd w:id="66"/>
    </w:p>
    <w:p w:rsidR="00002B4E" w:rsidRDefault="00002B4E" w:rsidP="00942DA7">
      <w:pPr>
        <w:spacing w:line="360" w:lineRule="auto"/>
        <w:jc w:val="both"/>
        <w:rPr>
          <w:rFonts w:ascii="Calibri" w:hAnsi="Calibri"/>
        </w:rPr>
      </w:pPr>
      <w:r w:rsidRPr="004E3B76">
        <w:rPr>
          <w:rFonts w:ascii="Calibri" w:hAnsi="Calibri"/>
        </w:rPr>
        <w:t>Zjišťovací řízení EIA nebylo provedeno. Stavba si jej nevyžaduje.</w:t>
      </w:r>
    </w:p>
    <w:p w:rsidR="00876E56" w:rsidRDefault="00876E56" w:rsidP="00942DA7">
      <w:pPr>
        <w:spacing w:line="360" w:lineRule="auto"/>
        <w:jc w:val="both"/>
        <w:rPr>
          <w:rFonts w:ascii="Calibri" w:hAnsi="Calibri"/>
        </w:rPr>
      </w:pPr>
    </w:p>
    <w:p w:rsidR="00002B4E" w:rsidRPr="006179DE" w:rsidRDefault="00002B4E" w:rsidP="00942DA7">
      <w:pPr>
        <w:pStyle w:val="Nadpis1"/>
        <w:numPr>
          <w:ilvl w:val="2"/>
          <w:numId w:val="9"/>
        </w:numPr>
        <w:spacing w:before="0" w:after="0" w:line="360" w:lineRule="auto"/>
        <w:ind w:left="567" w:hanging="283"/>
        <w:rPr>
          <w:rFonts w:ascii="Calibri" w:hAnsi="Calibri"/>
          <w:color w:val="808080"/>
          <w:sz w:val="20"/>
          <w:szCs w:val="20"/>
        </w:rPr>
      </w:pPr>
      <w:bookmarkStart w:id="67" w:name="_Toc507500444"/>
      <w:bookmarkStart w:id="68" w:name="_Toc27301015"/>
      <w:r w:rsidRPr="006179DE">
        <w:rPr>
          <w:rFonts w:ascii="Calibri" w:hAnsi="Calibri"/>
          <w:color w:val="808080"/>
          <w:sz w:val="20"/>
          <w:szCs w:val="20"/>
        </w:rPr>
        <w:t>Navrhovaná ochranná a bezpečnostní pásma, rozsah omezení a podmínky ochrany podle jiných právních předpisů</w:t>
      </w:r>
      <w:bookmarkEnd w:id="67"/>
      <w:bookmarkEnd w:id="68"/>
    </w:p>
    <w:p w:rsidR="00002B4E" w:rsidRDefault="00002B4E" w:rsidP="00942DA7">
      <w:pPr>
        <w:spacing w:line="360" w:lineRule="auto"/>
        <w:jc w:val="both"/>
        <w:rPr>
          <w:rFonts w:ascii="Calibri" w:hAnsi="Calibri"/>
        </w:rPr>
      </w:pPr>
      <w:r w:rsidRPr="00213E93">
        <w:rPr>
          <w:rFonts w:ascii="Calibri" w:hAnsi="Calibri"/>
        </w:rPr>
        <w:t>Nevznikají nová ochranná a bezpečnostní pásma.</w:t>
      </w:r>
    </w:p>
    <w:p w:rsidR="00876E56" w:rsidRDefault="00876E56" w:rsidP="00942DA7">
      <w:pPr>
        <w:spacing w:line="360" w:lineRule="auto"/>
        <w:jc w:val="both"/>
        <w:rPr>
          <w:rFonts w:ascii="Calibri" w:hAnsi="Calibri"/>
        </w:rPr>
      </w:pPr>
    </w:p>
    <w:p w:rsidR="00002B4E" w:rsidRPr="006179DE" w:rsidRDefault="00002B4E" w:rsidP="00942DA7">
      <w:pPr>
        <w:pStyle w:val="Nadpis1"/>
        <w:numPr>
          <w:ilvl w:val="0"/>
          <w:numId w:val="3"/>
        </w:numPr>
        <w:spacing w:before="0" w:after="0" w:line="360" w:lineRule="auto"/>
        <w:ind w:left="426" w:hanging="426"/>
        <w:rPr>
          <w:rFonts w:ascii="Calibri" w:hAnsi="Calibri" w:cs="Calibri"/>
          <w:sz w:val="20"/>
          <w:szCs w:val="20"/>
        </w:rPr>
      </w:pPr>
      <w:bookmarkStart w:id="69" w:name="_Toc27301016"/>
      <w:r w:rsidRPr="006179DE">
        <w:rPr>
          <w:rFonts w:ascii="Calibri" w:hAnsi="Calibri" w:cs="Calibri"/>
          <w:sz w:val="20"/>
          <w:szCs w:val="20"/>
        </w:rPr>
        <w:t>OCHRANA OBYVATELSTVA</w:t>
      </w:r>
      <w:bookmarkEnd w:id="69"/>
    </w:p>
    <w:p w:rsidR="00002B4E" w:rsidRPr="004E3B76" w:rsidRDefault="00002B4E" w:rsidP="00942DA7">
      <w:pPr>
        <w:spacing w:line="360" w:lineRule="auto"/>
        <w:rPr>
          <w:rFonts w:ascii="Calibri" w:hAnsi="Calibri" w:cs="Calibri"/>
          <w:i/>
        </w:rPr>
      </w:pPr>
      <w:r w:rsidRPr="004E3B76">
        <w:rPr>
          <w:rFonts w:ascii="Calibri" w:hAnsi="Calibri" w:cs="Calibri"/>
          <w:i/>
        </w:rPr>
        <w:t>Splnění základních požadavků z hlediska plnění úkolů ochrany obyvatelstva</w:t>
      </w:r>
    </w:p>
    <w:p w:rsidR="00002B4E" w:rsidRDefault="00002B4E" w:rsidP="00942DA7">
      <w:pPr>
        <w:spacing w:line="360" w:lineRule="auto"/>
        <w:jc w:val="both"/>
        <w:rPr>
          <w:rFonts w:ascii="Calibri" w:hAnsi="Calibri"/>
        </w:rPr>
      </w:pPr>
      <w:r w:rsidRPr="00D37293">
        <w:rPr>
          <w:rFonts w:ascii="Calibri" w:hAnsi="Calibri"/>
        </w:rPr>
        <w:t>Návrhem stavby nevznikají požadavky z hlediska plnění úkolů ochrany obyvatelstva.</w:t>
      </w:r>
    </w:p>
    <w:p w:rsidR="00876E56" w:rsidRDefault="00876E56" w:rsidP="00942DA7">
      <w:pPr>
        <w:spacing w:line="360" w:lineRule="auto"/>
        <w:jc w:val="both"/>
        <w:rPr>
          <w:rFonts w:ascii="Calibri" w:hAnsi="Calibri"/>
        </w:rPr>
      </w:pPr>
    </w:p>
    <w:p w:rsidR="001D63CE" w:rsidRDefault="00075339" w:rsidP="00075339">
      <w:pPr>
        <w:pStyle w:val="Nadpis1"/>
        <w:numPr>
          <w:ilvl w:val="0"/>
          <w:numId w:val="3"/>
        </w:numPr>
        <w:spacing w:before="0" w:after="0" w:line="360" w:lineRule="auto"/>
        <w:ind w:left="426" w:hanging="426"/>
        <w:rPr>
          <w:rFonts w:ascii="Calibri" w:hAnsi="Calibri" w:cs="Calibri"/>
          <w:b w:val="0"/>
          <w:sz w:val="20"/>
          <w:szCs w:val="20"/>
        </w:rPr>
      </w:pPr>
      <w:bookmarkStart w:id="70" w:name="_Toc27301017"/>
      <w:r w:rsidRPr="00075339">
        <w:rPr>
          <w:rFonts w:ascii="Calibri" w:hAnsi="Calibri" w:cs="Calibri"/>
          <w:sz w:val="20"/>
          <w:szCs w:val="20"/>
        </w:rPr>
        <w:t>ZÁSADY ORGANIZACE VÝSTAVBY</w:t>
      </w:r>
      <w:bookmarkEnd w:id="70"/>
      <w:r>
        <w:rPr>
          <w:rFonts w:ascii="Calibri" w:hAnsi="Calibri" w:cs="Calibri"/>
          <w:sz w:val="20"/>
          <w:szCs w:val="20"/>
        </w:rPr>
        <w:t xml:space="preserve"> </w:t>
      </w:r>
    </w:p>
    <w:p w:rsidR="00954571" w:rsidRDefault="00954571" w:rsidP="00954571">
      <w:pPr>
        <w:pStyle w:val="Nadpis1"/>
        <w:numPr>
          <w:ilvl w:val="2"/>
          <w:numId w:val="3"/>
        </w:numPr>
        <w:spacing w:before="0" w:after="0" w:line="360" w:lineRule="auto"/>
        <w:ind w:left="567" w:hanging="283"/>
        <w:rPr>
          <w:rFonts w:ascii="Calibri" w:hAnsi="Calibri"/>
          <w:color w:val="808080"/>
          <w:sz w:val="20"/>
          <w:szCs w:val="20"/>
        </w:rPr>
      </w:pPr>
      <w:bookmarkStart w:id="71" w:name="_Toc27301018"/>
      <w:r>
        <w:rPr>
          <w:rFonts w:ascii="Calibri" w:hAnsi="Calibri"/>
          <w:color w:val="808080"/>
          <w:sz w:val="20"/>
          <w:szCs w:val="20"/>
        </w:rPr>
        <w:t>Napojení staveniště na stávající dopravní a technickou infrastrukturu</w:t>
      </w:r>
      <w:bookmarkEnd w:id="71"/>
    </w:p>
    <w:p w:rsidR="002B5C21" w:rsidRDefault="000D1F32" w:rsidP="002B5C21">
      <w:pPr>
        <w:jc w:val="both"/>
        <w:rPr>
          <w:rFonts w:asciiTheme="minorHAnsi" w:hAnsiTheme="minorHAnsi" w:cstheme="minorHAnsi"/>
        </w:rPr>
      </w:pPr>
      <w:r>
        <w:rPr>
          <w:rFonts w:asciiTheme="minorHAnsi" w:hAnsiTheme="minorHAnsi" w:cstheme="minorHAnsi"/>
        </w:rPr>
        <w:t xml:space="preserve">Napojení staveniště bude z ulic Blatenská a </w:t>
      </w:r>
      <w:proofErr w:type="spellStart"/>
      <w:r>
        <w:rPr>
          <w:rFonts w:asciiTheme="minorHAnsi" w:hAnsiTheme="minorHAnsi" w:cstheme="minorHAnsi"/>
        </w:rPr>
        <w:t>Březenecká</w:t>
      </w:r>
      <w:proofErr w:type="spellEnd"/>
      <w:r>
        <w:rPr>
          <w:rFonts w:asciiTheme="minorHAnsi" w:hAnsiTheme="minorHAnsi" w:cstheme="minorHAnsi"/>
        </w:rPr>
        <w:t>. Napojení na technickou infrastrukturu není uvažováno. Elektrickou energii si dodavatel zajistí svépomocí z agregátu a vodu z cisterny.</w:t>
      </w:r>
    </w:p>
    <w:p w:rsidR="000D1F32" w:rsidRDefault="000D1F32" w:rsidP="002B5C21">
      <w:pPr>
        <w:jc w:val="both"/>
        <w:rPr>
          <w:rFonts w:asciiTheme="minorHAnsi" w:hAnsiTheme="minorHAnsi" w:cstheme="minorHAnsi"/>
        </w:rPr>
      </w:pPr>
    </w:p>
    <w:p w:rsidR="005767ED" w:rsidRPr="005767ED" w:rsidRDefault="005767ED" w:rsidP="005767ED">
      <w:pPr>
        <w:pStyle w:val="Odstavecseseznamem"/>
        <w:numPr>
          <w:ilvl w:val="2"/>
          <w:numId w:val="3"/>
        </w:numPr>
        <w:ind w:left="567" w:hanging="283"/>
        <w:rPr>
          <w:rFonts w:asciiTheme="minorHAnsi" w:hAnsiTheme="minorHAnsi" w:cstheme="minorHAnsi"/>
          <w:b/>
          <w:color w:val="808080" w:themeColor="background1" w:themeShade="80"/>
        </w:rPr>
      </w:pPr>
      <w:r w:rsidRPr="005767ED">
        <w:rPr>
          <w:rFonts w:asciiTheme="minorHAnsi" w:hAnsiTheme="minorHAnsi" w:cstheme="minorHAnsi"/>
          <w:b/>
          <w:color w:val="808080" w:themeColor="background1" w:themeShade="80"/>
        </w:rPr>
        <w:t>maximální dočasné a trvalé zábory pro staveniště</w:t>
      </w:r>
    </w:p>
    <w:p w:rsidR="005767ED" w:rsidRDefault="000D1F32" w:rsidP="002B5C21">
      <w:pPr>
        <w:jc w:val="both"/>
        <w:rPr>
          <w:rFonts w:asciiTheme="minorHAnsi" w:hAnsiTheme="minorHAnsi" w:cstheme="minorHAnsi"/>
        </w:rPr>
      </w:pPr>
      <w:r>
        <w:rPr>
          <w:rFonts w:asciiTheme="minorHAnsi" w:hAnsiTheme="minorHAnsi" w:cstheme="minorHAnsi"/>
        </w:rPr>
        <w:t>Zábor odpovídá ploše vozovky a chodníku. Rovněž se předpokládá, že mechanizace bude uskladněna na přilehlém parkovišti za základní školou, které je stále prázdné.</w:t>
      </w:r>
    </w:p>
    <w:p w:rsidR="000D1F32" w:rsidRDefault="000D1F32" w:rsidP="002B5C21">
      <w:pPr>
        <w:jc w:val="both"/>
        <w:rPr>
          <w:rFonts w:asciiTheme="minorHAnsi" w:hAnsiTheme="minorHAnsi" w:cstheme="minorHAnsi"/>
        </w:rPr>
      </w:pPr>
    </w:p>
    <w:p w:rsidR="005767ED" w:rsidRPr="005767ED" w:rsidRDefault="005767ED" w:rsidP="005767ED">
      <w:pPr>
        <w:pStyle w:val="Odstavecseseznamem"/>
        <w:numPr>
          <w:ilvl w:val="2"/>
          <w:numId w:val="3"/>
        </w:numPr>
        <w:ind w:left="567" w:hanging="283"/>
        <w:jc w:val="both"/>
        <w:rPr>
          <w:rFonts w:asciiTheme="minorHAnsi" w:hAnsiTheme="minorHAnsi" w:cstheme="minorHAnsi"/>
          <w:b/>
          <w:color w:val="808080" w:themeColor="background1" w:themeShade="80"/>
        </w:rPr>
      </w:pPr>
      <w:r w:rsidRPr="005767ED">
        <w:rPr>
          <w:rFonts w:asciiTheme="minorHAnsi" w:hAnsiTheme="minorHAnsi" w:cstheme="minorHAnsi"/>
          <w:b/>
          <w:color w:val="808080" w:themeColor="background1" w:themeShade="80"/>
        </w:rPr>
        <w:t xml:space="preserve">požadavky na bezbariérové </w:t>
      </w:r>
      <w:proofErr w:type="spellStart"/>
      <w:r w:rsidRPr="005767ED">
        <w:rPr>
          <w:rFonts w:asciiTheme="minorHAnsi" w:hAnsiTheme="minorHAnsi" w:cstheme="minorHAnsi"/>
          <w:b/>
          <w:color w:val="808080" w:themeColor="background1" w:themeShade="80"/>
        </w:rPr>
        <w:t>obchozí</w:t>
      </w:r>
      <w:proofErr w:type="spellEnd"/>
      <w:r w:rsidRPr="005767ED">
        <w:rPr>
          <w:rFonts w:asciiTheme="minorHAnsi" w:hAnsiTheme="minorHAnsi" w:cstheme="minorHAnsi"/>
          <w:b/>
          <w:color w:val="808080" w:themeColor="background1" w:themeShade="80"/>
        </w:rPr>
        <w:t xml:space="preserve"> trasy,</w:t>
      </w:r>
    </w:p>
    <w:p w:rsidR="002B5C21" w:rsidRDefault="00EC224A" w:rsidP="00EC224A">
      <w:pPr>
        <w:jc w:val="both"/>
        <w:rPr>
          <w:rFonts w:asciiTheme="minorHAnsi" w:hAnsiTheme="minorHAnsi" w:cstheme="minorHAnsi"/>
        </w:rPr>
      </w:pPr>
      <w:r>
        <w:rPr>
          <w:rFonts w:asciiTheme="minorHAnsi" w:hAnsiTheme="minorHAnsi" w:cstheme="minorHAnsi"/>
        </w:rPr>
        <w:t>V rámci výs</w:t>
      </w:r>
      <w:r w:rsidR="008F5D24">
        <w:rPr>
          <w:rFonts w:asciiTheme="minorHAnsi" w:hAnsiTheme="minorHAnsi" w:cstheme="minorHAnsi"/>
        </w:rPr>
        <w:t xml:space="preserve">tavby bude omezen provoz pěších, jelikož je zde jednostranný chodník, </w:t>
      </w:r>
      <w:r w:rsidR="000E4E6A">
        <w:rPr>
          <w:rFonts w:asciiTheme="minorHAnsi" w:hAnsiTheme="minorHAnsi" w:cstheme="minorHAnsi"/>
        </w:rPr>
        <w:t>nelze</w:t>
      </w:r>
      <w:r w:rsidR="008F5D24">
        <w:rPr>
          <w:rFonts w:asciiTheme="minorHAnsi" w:hAnsiTheme="minorHAnsi" w:cstheme="minorHAnsi"/>
        </w:rPr>
        <w:t xml:space="preserve"> přejít na druhou stranu vozovky. Alternativní pěší trasa existuje ulicemi Jarní a Pod Strání.  </w:t>
      </w:r>
    </w:p>
    <w:p w:rsidR="00ED1064" w:rsidRDefault="00ED1064" w:rsidP="00EC224A">
      <w:pPr>
        <w:jc w:val="both"/>
        <w:rPr>
          <w:rFonts w:asciiTheme="minorHAnsi" w:hAnsiTheme="minorHAnsi" w:cstheme="minorHAnsi"/>
        </w:rPr>
      </w:pPr>
    </w:p>
    <w:p w:rsidR="00ED1064" w:rsidRPr="00ED1064" w:rsidRDefault="00ED1064" w:rsidP="00ED1064">
      <w:pPr>
        <w:pStyle w:val="l5"/>
        <w:numPr>
          <w:ilvl w:val="2"/>
          <w:numId w:val="3"/>
        </w:numPr>
        <w:shd w:val="clear" w:color="auto" w:fill="FFFFFF"/>
        <w:spacing w:before="0" w:beforeAutospacing="0" w:after="0" w:afterAutospacing="0"/>
        <w:ind w:left="567" w:hanging="283"/>
        <w:jc w:val="both"/>
        <w:rPr>
          <w:rFonts w:asciiTheme="minorHAnsi" w:hAnsiTheme="minorHAnsi" w:cstheme="minorHAnsi"/>
          <w:b/>
          <w:color w:val="808080" w:themeColor="background1" w:themeShade="80"/>
          <w:sz w:val="20"/>
          <w:szCs w:val="20"/>
        </w:rPr>
      </w:pPr>
      <w:r w:rsidRPr="00ED1064">
        <w:rPr>
          <w:rFonts w:asciiTheme="minorHAnsi" w:hAnsiTheme="minorHAnsi" w:cstheme="minorHAnsi"/>
          <w:b/>
          <w:color w:val="808080" w:themeColor="background1" w:themeShade="80"/>
          <w:sz w:val="20"/>
          <w:szCs w:val="20"/>
        </w:rPr>
        <w:t xml:space="preserve">bilance zemních prací, požadavky na přísun nebo </w:t>
      </w:r>
      <w:proofErr w:type="spellStart"/>
      <w:r w:rsidRPr="00ED1064">
        <w:rPr>
          <w:rFonts w:asciiTheme="minorHAnsi" w:hAnsiTheme="minorHAnsi" w:cstheme="minorHAnsi"/>
          <w:b/>
          <w:color w:val="808080" w:themeColor="background1" w:themeShade="80"/>
          <w:sz w:val="20"/>
          <w:szCs w:val="20"/>
        </w:rPr>
        <w:t>deponie</w:t>
      </w:r>
      <w:proofErr w:type="spellEnd"/>
      <w:r w:rsidRPr="00ED1064">
        <w:rPr>
          <w:rFonts w:asciiTheme="minorHAnsi" w:hAnsiTheme="minorHAnsi" w:cstheme="minorHAnsi"/>
          <w:b/>
          <w:color w:val="808080" w:themeColor="background1" w:themeShade="80"/>
          <w:sz w:val="20"/>
          <w:szCs w:val="20"/>
        </w:rPr>
        <w:t xml:space="preserve"> zemin.</w:t>
      </w:r>
    </w:p>
    <w:p w:rsidR="0010007E" w:rsidRDefault="0010007E" w:rsidP="00EC224A">
      <w:pPr>
        <w:jc w:val="both"/>
        <w:rPr>
          <w:rFonts w:asciiTheme="minorHAnsi" w:hAnsiTheme="minorHAnsi" w:cstheme="minorHAnsi"/>
        </w:rPr>
      </w:pPr>
      <w:r>
        <w:rPr>
          <w:rFonts w:asciiTheme="minorHAnsi" w:hAnsiTheme="minorHAnsi" w:cstheme="minorHAnsi"/>
        </w:rPr>
        <w:t xml:space="preserve">Případné </w:t>
      </w:r>
      <w:proofErr w:type="spellStart"/>
      <w:r>
        <w:rPr>
          <w:rFonts w:asciiTheme="minorHAnsi" w:hAnsiTheme="minorHAnsi" w:cstheme="minorHAnsi"/>
        </w:rPr>
        <w:t>deponie</w:t>
      </w:r>
      <w:proofErr w:type="spellEnd"/>
      <w:r>
        <w:rPr>
          <w:rFonts w:asciiTheme="minorHAnsi" w:hAnsiTheme="minorHAnsi" w:cstheme="minorHAnsi"/>
        </w:rPr>
        <w:t xml:space="preserve"> je možné skladovat na parkovišti za základní školou.</w:t>
      </w:r>
    </w:p>
    <w:p w:rsidR="0010007E" w:rsidRDefault="0010007E" w:rsidP="00EC224A">
      <w:pPr>
        <w:jc w:val="both"/>
        <w:rPr>
          <w:rFonts w:asciiTheme="minorHAnsi" w:hAnsiTheme="minorHAnsi" w:cstheme="minorHAnsi"/>
        </w:rPr>
      </w:pPr>
    </w:p>
    <w:p w:rsidR="001A17C7" w:rsidRPr="00A536C1" w:rsidRDefault="00A536C1" w:rsidP="00EC224A">
      <w:pPr>
        <w:jc w:val="both"/>
        <w:rPr>
          <w:rFonts w:asciiTheme="minorHAnsi" w:hAnsiTheme="minorHAnsi" w:cstheme="minorHAnsi"/>
        </w:rPr>
      </w:pPr>
      <w:r w:rsidRPr="00A536C1">
        <w:rPr>
          <w:rFonts w:asciiTheme="minorHAnsi" w:hAnsiTheme="minorHAnsi" w:cstheme="minorHAnsi"/>
        </w:rPr>
        <w:t xml:space="preserve">Frézování vozovky v ploše </w:t>
      </w:r>
      <w:r w:rsidRPr="00A536C1">
        <w:rPr>
          <w:rFonts w:asciiTheme="minorHAnsi" w:hAnsiTheme="minorHAnsi" w:cstheme="minorHAnsi"/>
        </w:rPr>
        <w:tab/>
      </w:r>
      <w:r w:rsidRPr="00A536C1">
        <w:rPr>
          <w:rFonts w:asciiTheme="minorHAnsi" w:hAnsiTheme="minorHAnsi" w:cstheme="minorHAnsi"/>
        </w:rPr>
        <w:tab/>
      </w:r>
      <w:r w:rsidRPr="00A536C1">
        <w:rPr>
          <w:rFonts w:asciiTheme="minorHAnsi" w:hAnsiTheme="minorHAnsi" w:cstheme="minorHAnsi"/>
        </w:rPr>
        <w:tab/>
      </w:r>
      <w:r w:rsidRPr="00A536C1">
        <w:rPr>
          <w:rFonts w:asciiTheme="minorHAnsi" w:hAnsiTheme="minorHAnsi" w:cstheme="minorHAnsi"/>
        </w:rPr>
        <w:tab/>
        <w:t xml:space="preserve">6481 m2, </w:t>
      </w:r>
      <w:proofErr w:type="spellStart"/>
      <w:r w:rsidRPr="00A536C1">
        <w:rPr>
          <w:rFonts w:asciiTheme="minorHAnsi" w:hAnsiTheme="minorHAnsi" w:cstheme="minorHAnsi"/>
        </w:rPr>
        <w:t>tl</w:t>
      </w:r>
      <w:proofErr w:type="spellEnd"/>
      <w:r w:rsidRPr="00A536C1">
        <w:rPr>
          <w:rFonts w:asciiTheme="minorHAnsi" w:hAnsiTheme="minorHAnsi" w:cstheme="minorHAnsi"/>
        </w:rPr>
        <w:t>. 120 mm</w:t>
      </w:r>
    </w:p>
    <w:p w:rsidR="00A536C1" w:rsidRPr="00A536C1" w:rsidRDefault="00A536C1" w:rsidP="00EC224A">
      <w:pPr>
        <w:jc w:val="both"/>
        <w:rPr>
          <w:rFonts w:asciiTheme="minorHAnsi" w:hAnsiTheme="minorHAnsi" w:cstheme="minorHAnsi"/>
        </w:rPr>
      </w:pPr>
      <w:r w:rsidRPr="00A536C1">
        <w:rPr>
          <w:rFonts w:asciiTheme="minorHAnsi" w:hAnsiTheme="minorHAnsi" w:cstheme="minorHAnsi"/>
        </w:rPr>
        <w:t>Odstranění živičného povrchu z chodníku</w:t>
      </w:r>
      <w:r w:rsidRPr="00A536C1">
        <w:rPr>
          <w:rFonts w:asciiTheme="minorHAnsi" w:hAnsiTheme="minorHAnsi" w:cstheme="minorHAnsi"/>
        </w:rPr>
        <w:tab/>
      </w:r>
      <w:r w:rsidRPr="00A536C1">
        <w:rPr>
          <w:rFonts w:asciiTheme="minorHAnsi" w:hAnsiTheme="minorHAnsi" w:cstheme="minorHAnsi"/>
        </w:rPr>
        <w:tab/>
      </w:r>
      <w:r w:rsidRPr="00A536C1">
        <w:rPr>
          <w:rFonts w:asciiTheme="minorHAnsi" w:hAnsiTheme="minorHAnsi" w:cstheme="minorHAnsi"/>
        </w:rPr>
        <w:tab/>
        <w:t xml:space="preserve">1500 m2, </w:t>
      </w:r>
      <w:proofErr w:type="spellStart"/>
      <w:r w:rsidRPr="00A536C1">
        <w:rPr>
          <w:rFonts w:asciiTheme="minorHAnsi" w:hAnsiTheme="minorHAnsi" w:cstheme="minorHAnsi"/>
        </w:rPr>
        <w:t>tl</w:t>
      </w:r>
      <w:proofErr w:type="spellEnd"/>
      <w:r w:rsidRPr="00A536C1">
        <w:rPr>
          <w:rFonts w:asciiTheme="minorHAnsi" w:hAnsiTheme="minorHAnsi" w:cstheme="minorHAnsi"/>
        </w:rPr>
        <w:t>. 50 mm</w:t>
      </w:r>
    </w:p>
    <w:p w:rsidR="00A536C1" w:rsidRPr="00A536C1" w:rsidRDefault="00A536C1" w:rsidP="00EC224A">
      <w:pPr>
        <w:jc w:val="both"/>
        <w:rPr>
          <w:rFonts w:asciiTheme="minorHAnsi" w:hAnsiTheme="minorHAnsi" w:cstheme="minorHAnsi"/>
        </w:rPr>
      </w:pPr>
      <w:r w:rsidRPr="00A536C1">
        <w:rPr>
          <w:rFonts w:asciiTheme="minorHAnsi" w:hAnsiTheme="minorHAnsi" w:cstheme="minorHAnsi"/>
        </w:rPr>
        <w:t>Odstranění obrub silničních obrub</w:t>
      </w:r>
      <w:r w:rsidRPr="00A536C1">
        <w:rPr>
          <w:rFonts w:asciiTheme="minorHAnsi" w:hAnsiTheme="minorHAnsi" w:cstheme="minorHAnsi"/>
        </w:rPr>
        <w:tab/>
      </w:r>
      <w:r w:rsidRPr="00A536C1">
        <w:rPr>
          <w:rFonts w:asciiTheme="minorHAnsi" w:hAnsiTheme="minorHAnsi" w:cstheme="minorHAnsi"/>
        </w:rPr>
        <w:tab/>
      </w:r>
      <w:r w:rsidRPr="00A536C1">
        <w:rPr>
          <w:rFonts w:asciiTheme="minorHAnsi" w:hAnsiTheme="minorHAnsi" w:cstheme="minorHAnsi"/>
        </w:rPr>
        <w:tab/>
      </w:r>
      <w:r w:rsidRPr="00A536C1">
        <w:rPr>
          <w:rFonts w:asciiTheme="minorHAnsi" w:hAnsiTheme="minorHAnsi" w:cstheme="minorHAnsi"/>
        </w:rPr>
        <w:tab/>
        <w:t>1360 m</w:t>
      </w:r>
    </w:p>
    <w:p w:rsidR="00A536C1" w:rsidRPr="0010007E" w:rsidRDefault="00A536C1" w:rsidP="00EC224A">
      <w:pPr>
        <w:jc w:val="both"/>
        <w:rPr>
          <w:rFonts w:asciiTheme="minorHAnsi" w:hAnsiTheme="minorHAnsi" w:cstheme="minorHAnsi"/>
          <w:color w:val="FF0000"/>
        </w:rPr>
      </w:pPr>
      <w:r w:rsidRPr="00A536C1">
        <w:rPr>
          <w:rFonts w:asciiTheme="minorHAnsi" w:hAnsiTheme="minorHAnsi" w:cstheme="minorHAnsi"/>
        </w:rPr>
        <w:t>Odstranění chodníkových obrub</w:t>
      </w:r>
      <w:r w:rsidRPr="00A536C1">
        <w:rPr>
          <w:rFonts w:asciiTheme="minorHAnsi" w:hAnsiTheme="minorHAnsi" w:cstheme="minorHAnsi"/>
        </w:rPr>
        <w:tab/>
      </w:r>
      <w:r w:rsidRPr="00A536C1">
        <w:rPr>
          <w:rFonts w:asciiTheme="minorHAnsi" w:hAnsiTheme="minorHAnsi" w:cstheme="minorHAnsi"/>
        </w:rPr>
        <w:tab/>
      </w:r>
      <w:r w:rsidRPr="00A536C1">
        <w:rPr>
          <w:rFonts w:asciiTheme="minorHAnsi" w:hAnsiTheme="minorHAnsi" w:cstheme="minorHAnsi"/>
        </w:rPr>
        <w:tab/>
      </w:r>
      <w:r w:rsidRPr="00A536C1">
        <w:rPr>
          <w:rFonts w:asciiTheme="minorHAnsi" w:hAnsiTheme="minorHAnsi" w:cstheme="minorHAnsi"/>
        </w:rPr>
        <w:tab/>
        <w:t>770 m</w:t>
      </w:r>
      <w:r>
        <w:rPr>
          <w:rFonts w:asciiTheme="minorHAnsi" w:hAnsiTheme="minorHAnsi" w:cstheme="minorHAnsi"/>
          <w:color w:val="FF0000"/>
        </w:rPr>
        <w:tab/>
      </w:r>
      <w:r>
        <w:rPr>
          <w:rFonts w:asciiTheme="minorHAnsi" w:hAnsiTheme="minorHAnsi" w:cstheme="minorHAnsi"/>
          <w:color w:val="FF0000"/>
        </w:rPr>
        <w:tab/>
      </w:r>
      <w:r>
        <w:rPr>
          <w:rFonts w:asciiTheme="minorHAnsi" w:hAnsiTheme="minorHAnsi" w:cstheme="minorHAnsi"/>
          <w:color w:val="FF0000"/>
        </w:rPr>
        <w:tab/>
      </w:r>
    </w:p>
    <w:p w:rsidR="005767ED" w:rsidRPr="00954571" w:rsidRDefault="005767ED" w:rsidP="00954571"/>
    <w:p w:rsidR="001D63CE" w:rsidRDefault="001D63CE" w:rsidP="001D63CE">
      <w:pPr>
        <w:pStyle w:val="Nadpis1"/>
        <w:numPr>
          <w:ilvl w:val="0"/>
          <w:numId w:val="3"/>
        </w:numPr>
        <w:spacing w:before="0" w:after="0" w:line="360" w:lineRule="auto"/>
        <w:ind w:left="426" w:hanging="426"/>
        <w:rPr>
          <w:rFonts w:ascii="Calibri" w:hAnsi="Calibri" w:cs="Calibri"/>
          <w:sz w:val="20"/>
          <w:szCs w:val="20"/>
        </w:rPr>
      </w:pPr>
      <w:bookmarkStart w:id="72" w:name="_Toc27301019"/>
      <w:r w:rsidRPr="001D63CE">
        <w:rPr>
          <w:rFonts w:ascii="Calibri" w:hAnsi="Calibri" w:cs="Calibri"/>
          <w:sz w:val="20"/>
          <w:szCs w:val="20"/>
        </w:rPr>
        <w:t>C</w:t>
      </w:r>
      <w:r>
        <w:rPr>
          <w:rFonts w:ascii="Calibri" w:hAnsi="Calibri" w:cs="Calibri"/>
          <w:sz w:val="20"/>
          <w:szCs w:val="20"/>
        </w:rPr>
        <w:t>ELKOVÉ VODOHOSPODÁŘSKÉ ŘEŠENÍ</w:t>
      </w:r>
      <w:bookmarkEnd w:id="72"/>
    </w:p>
    <w:p w:rsidR="00657E20" w:rsidRPr="00C91926" w:rsidRDefault="00C91926" w:rsidP="00657E20">
      <w:pPr>
        <w:spacing w:line="360" w:lineRule="auto"/>
        <w:jc w:val="both"/>
        <w:rPr>
          <w:rFonts w:ascii="Calibri" w:hAnsi="Calibri"/>
        </w:rPr>
      </w:pPr>
      <w:r w:rsidRPr="00C91926">
        <w:rPr>
          <w:rFonts w:ascii="Calibri" w:hAnsi="Calibri"/>
        </w:rPr>
        <w:t xml:space="preserve">Navrhovaná stavba bude budována s vědomím nutnosti ochrany podzemních a povrchových vod, čemuž odpovídá stavební řešení. Vzhledem k charakteru stavby a následného provozu se nepředpokládají změny charakteristiky vodního režimu daného území. Látky nebezpečné vodám budou při stavbě používány v nejnutnějším omezeném rozsahu a bude zaručeno, že i při případné drobné havárii nedojde k jejich úniku do kanalizace a vodoteče. Při provozu nebude docházet ke znečištění povrchových ani podzemních vod. </w:t>
      </w:r>
      <w:r w:rsidRPr="00C91926">
        <w:rPr>
          <w:rFonts w:asciiTheme="minorHAnsi" w:hAnsiTheme="minorHAnsi" w:cstheme="minorHAnsi"/>
        </w:rPr>
        <w:t xml:space="preserve">Odvodnění komunikace </w:t>
      </w:r>
      <w:r w:rsidR="00410A21">
        <w:rPr>
          <w:rFonts w:asciiTheme="minorHAnsi" w:hAnsiTheme="minorHAnsi" w:cstheme="minorHAnsi"/>
        </w:rPr>
        <w:t xml:space="preserve">a chodníku bude řešeno uličními vpusťmi, jako v současném stavu. Vpusti jsou napojeny do </w:t>
      </w:r>
      <w:r w:rsidR="009561A3">
        <w:rPr>
          <w:rFonts w:asciiTheme="minorHAnsi" w:hAnsiTheme="minorHAnsi" w:cstheme="minorHAnsi"/>
        </w:rPr>
        <w:t>dešťové kanalizace, která ústí do přivaděče. Stávající vpusti budou výškově a prostorově vyrovnány a posunuty.</w:t>
      </w:r>
    </w:p>
    <w:sectPr w:rsidR="00657E20" w:rsidRPr="00C91926" w:rsidSect="00C84A7E">
      <w:headerReference w:type="default" r:id="rId8"/>
      <w:footerReference w:type="default" r:id="rId9"/>
      <w:type w:val="continuous"/>
      <w:pgSz w:w="11907" w:h="16840" w:code="9"/>
      <w:pgMar w:top="2269" w:right="1418" w:bottom="1418" w:left="1418" w:header="709" w:footer="709" w:gutter="0"/>
      <w:pgNumType w:fmt="numberInDash"/>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66FC" w:rsidRDefault="000866FC">
      <w:r>
        <w:separator/>
      </w:r>
    </w:p>
  </w:endnote>
  <w:endnote w:type="continuationSeparator" w:id="0">
    <w:p w:rsidR="000866FC" w:rsidRDefault="000866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66FC" w:rsidRDefault="000866FC">
    <w:pPr>
      <w:pStyle w:val="Zpat"/>
      <w:pBdr>
        <w:top w:val="single" w:sz="4" w:space="1" w:color="D9D9D9"/>
      </w:pBdr>
      <w:rPr>
        <w:b/>
        <w:bCs/>
      </w:rPr>
    </w:pPr>
    <w:r>
      <w:fldChar w:fldCharType="begin"/>
    </w:r>
    <w:r>
      <w:instrText>PAGE   \* MERGEFORMAT</w:instrText>
    </w:r>
    <w:r>
      <w:fldChar w:fldCharType="separate"/>
    </w:r>
    <w:r w:rsidRPr="00A42DDA">
      <w:rPr>
        <w:b/>
        <w:bCs/>
        <w:noProof/>
      </w:rPr>
      <w:t>-</w:t>
    </w:r>
    <w:r>
      <w:rPr>
        <w:noProof/>
      </w:rPr>
      <w:t xml:space="preserve"> 10 -</w:t>
    </w:r>
    <w:r>
      <w:rPr>
        <w:noProof/>
      </w:rPr>
      <w:fldChar w:fldCharType="end"/>
    </w:r>
    <w:r>
      <w:rPr>
        <w:b/>
        <w:bCs/>
      </w:rPr>
      <w:t xml:space="preserve"> | </w:t>
    </w:r>
    <w:r>
      <w:rPr>
        <w:color w:val="7F7F7F"/>
        <w:spacing w:val="60"/>
      </w:rPr>
      <w:t>Stránka</w:t>
    </w:r>
  </w:p>
  <w:p w:rsidR="000866FC" w:rsidRDefault="000866FC" w:rsidP="004D7E11">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66FC" w:rsidRDefault="000866FC">
      <w:r>
        <w:separator/>
      </w:r>
    </w:p>
  </w:footnote>
  <w:footnote w:type="continuationSeparator" w:id="0">
    <w:p w:rsidR="000866FC" w:rsidRDefault="000866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66FC" w:rsidRPr="00B73E33" w:rsidRDefault="000866FC" w:rsidP="00C84A7E">
    <w:pPr>
      <w:pStyle w:val="Zhlav"/>
      <w:tabs>
        <w:tab w:val="clear" w:pos="4536"/>
        <w:tab w:val="clear" w:pos="7847"/>
        <w:tab w:val="center" w:pos="4535"/>
      </w:tabs>
      <w:jc w:val="right"/>
      <w:rPr>
        <w:rFonts w:ascii="Calibri" w:hAnsi="Calibri" w:cs="Tahoma"/>
        <w:color w:val="BFBFBF"/>
        <w:sz w:val="16"/>
        <w:szCs w:val="18"/>
      </w:rPr>
    </w:pPr>
    <w:r>
      <w:rPr>
        <w:rFonts w:ascii="Calibri" w:hAnsi="Calibri" w:cs="Tahoma"/>
        <w:noProof/>
        <w:color w:val="BFBFBF"/>
        <w:sz w:val="16"/>
        <w:szCs w:val="18"/>
      </w:rPr>
      <w:drawing>
        <wp:anchor distT="0" distB="0" distL="114300" distR="114300" simplePos="0" relativeHeight="251657728" behindDoc="1" locked="0" layoutInCell="1" allowOverlap="1" wp14:anchorId="24555C3B" wp14:editId="79C0115B">
          <wp:simplePos x="0" y="0"/>
          <wp:positionH relativeFrom="column">
            <wp:posOffset>-959485</wp:posOffset>
          </wp:positionH>
          <wp:positionV relativeFrom="paragraph">
            <wp:posOffset>-452120</wp:posOffset>
          </wp:positionV>
          <wp:extent cx="7616190" cy="10768965"/>
          <wp:effectExtent l="0" t="0" r="3810" b="0"/>
          <wp:wrapNone/>
          <wp:docPr id="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6190" cy="10768965"/>
                  </a:xfrm>
                  <a:prstGeom prst="rect">
                    <a:avLst/>
                  </a:prstGeom>
                  <a:noFill/>
                </pic:spPr>
              </pic:pic>
            </a:graphicData>
          </a:graphic>
          <wp14:sizeRelH relativeFrom="page">
            <wp14:pctWidth>0</wp14:pctWidth>
          </wp14:sizeRelH>
          <wp14:sizeRelV relativeFrom="page">
            <wp14:pctHeight>0</wp14:pctHeight>
          </wp14:sizeRelV>
        </wp:anchor>
      </w:drawing>
    </w:r>
    <w:r w:rsidRPr="00B73E33">
      <w:rPr>
        <w:rFonts w:ascii="Calibri" w:hAnsi="Calibri" w:cs="Tahoma"/>
        <w:color w:val="BFBFBF"/>
        <w:sz w:val="16"/>
        <w:szCs w:val="18"/>
      </w:rPr>
      <w:t>Z</w:t>
    </w:r>
    <w:r>
      <w:rPr>
        <w:rFonts w:ascii="Calibri" w:hAnsi="Calibri" w:cs="Tahoma"/>
        <w:color w:val="BFBFBF"/>
        <w:sz w:val="16"/>
        <w:szCs w:val="18"/>
      </w:rPr>
      <w:t>akázka – 20225</w:t>
    </w:r>
  </w:p>
  <w:p w:rsidR="000866FC" w:rsidRPr="00B73E33" w:rsidRDefault="000866FC" w:rsidP="00C84A7E">
    <w:pPr>
      <w:pStyle w:val="Zhlav"/>
      <w:tabs>
        <w:tab w:val="left" w:pos="5125"/>
      </w:tabs>
      <w:jc w:val="right"/>
      <w:rPr>
        <w:rFonts w:ascii="Calibri" w:hAnsi="Calibri"/>
        <w:color w:val="BFBFBF"/>
        <w:sz w:val="16"/>
        <w:szCs w:val="18"/>
      </w:rPr>
    </w:pPr>
    <w:r>
      <w:rPr>
        <w:rFonts w:ascii="Calibri" w:hAnsi="Calibri"/>
        <w:color w:val="BFBFBF"/>
        <w:sz w:val="16"/>
        <w:szCs w:val="18"/>
      </w:rPr>
      <w:t>Obnova povrchu v ulici Pod Strážištěm, Chomutov</w:t>
    </w:r>
  </w:p>
  <w:p w:rsidR="000866FC" w:rsidRPr="00B73E33" w:rsidRDefault="000866FC" w:rsidP="00C84A7E">
    <w:pPr>
      <w:pStyle w:val="Zhlav"/>
      <w:tabs>
        <w:tab w:val="left" w:pos="5125"/>
      </w:tabs>
      <w:jc w:val="right"/>
      <w:rPr>
        <w:rFonts w:ascii="Calibri" w:hAnsi="Calibri"/>
        <w:color w:val="BFBFBF"/>
        <w:sz w:val="16"/>
        <w:szCs w:val="18"/>
      </w:rPr>
    </w:pPr>
    <w:r>
      <w:rPr>
        <w:rFonts w:ascii="Calibri" w:hAnsi="Calibri"/>
        <w:color w:val="BFBFBF"/>
        <w:sz w:val="16"/>
        <w:szCs w:val="18"/>
      </w:rPr>
      <w:t>DOKUMENTACE PRO PROVÁDĚNÍ STAVBY</w:t>
    </w:r>
  </w:p>
  <w:p w:rsidR="000866FC" w:rsidRPr="00E33136" w:rsidRDefault="000866FC" w:rsidP="00C84A7E">
    <w:pPr>
      <w:pStyle w:val="Zhlav"/>
      <w:tabs>
        <w:tab w:val="clear" w:pos="4536"/>
        <w:tab w:val="clear" w:pos="7847"/>
        <w:tab w:val="left" w:pos="1725"/>
      </w:tabs>
      <w:jc w:val="right"/>
      <w:rPr>
        <w:rFonts w:ascii="Calibri" w:hAnsi="Calibri" w:cs="Tahoma"/>
        <w:b/>
        <w:color w:val="BFBFBF"/>
        <w:sz w:val="18"/>
        <w:szCs w:val="18"/>
      </w:rPr>
    </w:pPr>
    <w:r>
      <w:rPr>
        <w:rFonts w:ascii="Calibri" w:hAnsi="Calibri" w:cs="Tahoma"/>
        <w:b/>
        <w:color w:val="BFBFBF"/>
        <w:sz w:val="16"/>
        <w:szCs w:val="18"/>
        <w:u w:val="single"/>
      </w:rPr>
      <w:t>B – Souhrnná technická zpráva</w:t>
    </w:r>
  </w:p>
  <w:p w:rsidR="000866FC" w:rsidRPr="009369AF" w:rsidRDefault="000866FC" w:rsidP="009369A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D741D"/>
    <w:multiLevelType w:val="multilevel"/>
    <w:tmpl w:val="4D66C878"/>
    <w:lvl w:ilvl="0">
      <w:start w:val="1"/>
      <w:numFmt w:val="decimal"/>
      <w:pStyle w:val="Nadpis1"/>
      <w:lvlText w:val="%1."/>
      <w:lvlJc w:val="left"/>
      <w:pPr>
        <w:ind w:left="360" w:hanging="360"/>
      </w:pPr>
      <w:rPr>
        <w:rFonts w:cs="Times New Roman" w:hint="default"/>
      </w:rPr>
    </w:lvl>
    <w:lvl w:ilvl="1">
      <w:start w:val="1"/>
      <w:numFmt w:val="decimal"/>
      <w:lvlText w:val="%2."/>
      <w:lvlJc w:val="left"/>
      <w:pPr>
        <w:tabs>
          <w:tab w:val="num" w:pos="2275"/>
        </w:tabs>
        <w:ind w:left="2275" w:hanging="432"/>
      </w:pPr>
      <w:rPr>
        <w:rFonts w:cs="Times New Roman" w:hint="default"/>
      </w:rPr>
    </w:lvl>
    <w:lvl w:ilvl="2">
      <w:start w:val="1"/>
      <w:numFmt w:val="decimalZero"/>
      <w:lvlRestart w:val="0"/>
      <w:lvlText w:val="%2.%1.%3"/>
      <w:lvlJc w:val="left"/>
      <w:pPr>
        <w:tabs>
          <w:tab w:val="num" w:pos="2280"/>
        </w:tabs>
        <w:ind w:left="206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11AA47CA"/>
    <w:multiLevelType w:val="hybridMultilevel"/>
    <w:tmpl w:val="A8182426"/>
    <w:lvl w:ilvl="0" w:tplc="11A67ACC">
      <w:start w:val="1"/>
      <w:numFmt w:val="lowerLetter"/>
      <w:lvlText w:val="%1)"/>
      <w:lvlJc w:val="left"/>
      <w:pPr>
        <w:ind w:left="720" w:hanging="360"/>
      </w:pPr>
      <w:rPr>
        <w:rFonts w:ascii="Calibri" w:hAnsi="Calibri" w:cs="Calibri" w:hint="default"/>
        <w:b/>
        <w:color w:val="80808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EB1832"/>
    <w:multiLevelType w:val="multilevel"/>
    <w:tmpl w:val="A12EFF0E"/>
    <w:lvl w:ilvl="0">
      <w:start w:val="1"/>
      <w:numFmt w:val="decimal"/>
      <w:lvlText w:val="%1."/>
      <w:lvlJc w:val="left"/>
      <w:pPr>
        <w:ind w:left="4046" w:hanging="360"/>
      </w:pPr>
      <w:rPr>
        <w:rFonts w:cs="Times New Roman"/>
      </w:rPr>
    </w:lvl>
    <w:lvl w:ilvl="1">
      <w:start w:val="1"/>
      <w:numFmt w:val="decimal"/>
      <w:lvlText w:val="%1.%2."/>
      <w:lvlJc w:val="left"/>
      <w:pPr>
        <w:ind w:left="4719" w:hanging="432"/>
      </w:pPr>
      <w:rPr>
        <w:rFonts w:cs="Times New Roman"/>
      </w:rPr>
    </w:lvl>
    <w:lvl w:ilvl="2">
      <w:start w:val="1"/>
      <w:numFmt w:val="lowerLetter"/>
      <w:lvlText w:val="%3)"/>
      <w:lvlJc w:val="left"/>
      <w:pPr>
        <w:ind w:left="5151" w:hanging="504"/>
      </w:pPr>
      <w:rPr>
        <w:rFonts w:cs="Times New Roman" w:hint="default"/>
      </w:rPr>
    </w:lvl>
    <w:lvl w:ilvl="3">
      <w:start w:val="1"/>
      <w:numFmt w:val="decimal"/>
      <w:lvlText w:val="%1.%2.%3.%4."/>
      <w:lvlJc w:val="left"/>
      <w:pPr>
        <w:ind w:left="5655" w:hanging="648"/>
      </w:pPr>
      <w:rPr>
        <w:rFonts w:cs="Times New Roman"/>
      </w:rPr>
    </w:lvl>
    <w:lvl w:ilvl="4">
      <w:start w:val="1"/>
      <w:numFmt w:val="decimal"/>
      <w:lvlText w:val="%1.%2.%3.%4.%5."/>
      <w:lvlJc w:val="left"/>
      <w:pPr>
        <w:ind w:left="6159" w:hanging="792"/>
      </w:pPr>
      <w:rPr>
        <w:rFonts w:cs="Times New Roman"/>
      </w:rPr>
    </w:lvl>
    <w:lvl w:ilvl="5">
      <w:start w:val="1"/>
      <w:numFmt w:val="decimal"/>
      <w:lvlText w:val="%1.%2.%3.%4.%5.%6."/>
      <w:lvlJc w:val="left"/>
      <w:pPr>
        <w:ind w:left="6663" w:hanging="936"/>
      </w:pPr>
      <w:rPr>
        <w:rFonts w:cs="Times New Roman"/>
      </w:rPr>
    </w:lvl>
    <w:lvl w:ilvl="6">
      <w:start w:val="1"/>
      <w:numFmt w:val="decimal"/>
      <w:lvlText w:val="%1.%2.%3.%4.%5.%6.%7."/>
      <w:lvlJc w:val="left"/>
      <w:pPr>
        <w:ind w:left="7167" w:hanging="1080"/>
      </w:pPr>
      <w:rPr>
        <w:rFonts w:cs="Times New Roman"/>
      </w:rPr>
    </w:lvl>
    <w:lvl w:ilvl="7">
      <w:start w:val="1"/>
      <w:numFmt w:val="decimal"/>
      <w:lvlText w:val="%1.%2.%3.%4.%5.%6.%7.%8."/>
      <w:lvlJc w:val="left"/>
      <w:pPr>
        <w:ind w:left="7671" w:hanging="1224"/>
      </w:pPr>
      <w:rPr>
        <w:rFonts w:cs="Times New Roman"/>
      </w:rPr>
    </w:lvl>
    <w:lvl w:ilvl="8">
      <w:start w:val="1"/>
      <w:numFmt w:val="decimal"/>
      <w:lvlText w:val="%1.%2.%3.%4.%5.%6.%7.%8.%9."/>
      <w:lvlJc w:val="left"/>
      <w:pPr>
        <w:ind w:left="8247" w:hanging="1440"/>
      </w:pPr>
      <w:rPr>
        <w:rFonts w:cs="Times New Roman"/>
      </w:rPr>
    </w:lvl>
  </w:abstractNum>
  <w:abstractNum w:abstractNumId="3" w15:restartNumberingAfterBreak="0">
    <w:nsid w:val="159819A7"/>
    <w:multiLevelType w:val="multilevel"/>
    <w:tmpl w:val="75F83434"/>
    <w:lvl w:ilvl="0">
      <w:start w:val="5"/>
      <w:numFmt w:val="decimal"/>
      <w:lvlText w:val="%1."/>
      <w:lvlJc w:val="left"/>
      <w:pPr>
        <w:ind w:left="4287" w:hanging="360"/>
      </w:pPr>
      <w:rPr>
        <w:rFonts w:cs="Times New Roman" w:hint="default"/>
      </w:rPr>
    </w:lvl>
    <w:lvl w:ilvl="1">
      <w:start w:val="1"/>
      <w:numFmt w:val="decimal"/>
      <w:lvlText w:val="%1.%2."/>
      <w:lvlJc w:val="left"/>
      <w:pPr>
        <w:ind w:left="4719" w:hanging="432"/>
      </w:pPr>
      <w:rPr>
        <w:rFonts w:cs="Times New Roman" w:hint="default"/>
      </w:rPr>
    </w:lvl>
    <w:lvl w:ilvl="2">
      <w:start w:val="1"/>
      <w:numFmt w:val="lowerLetter"/>
      <w:lvlText w:val="%3)"/>
      <w:lvlJc w:val="left"/>
      <w:pPr>
        <w:ind w:left="5151" w:hanging="504"/>
      </w:pPr>
      <w:rPr>
        <w:rFonts w:cs="Times New Roman" w:hint="default"/>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4" w15:restartNumberingAfterBreak="0">
    <w:nsid w:val="1B9257D7"/>
    <w:multiLevelType w:val="multilevel"/>
    <w:tmpl w:val="605E5684"/>
    <w:lvl w:ilvl="0">
      <w:start w:val="5"/>
      <w:numFmt w:val="decimal"/>
      <w:lvlText w:val="%1."/>
      <w:lvlJc w:val="left"/>
      <w:pPr>
        <w:ind w:left="4287" w:hanging="360"/>
      </w:pPr>
      <w:rPr>
        <w:rFonts w:cs="Times New Roman" w:hint="default"/>
      </w:rPr>
    </w:lvl>
    <w:lvl w:ilvl="1">
      <w:start w:val="1"/>
      <w:numFmt w:val="decimal"/>
      <w:lvlText w:val="%1.%2."/>
      <w:lvlJc w:val="left"/>
      <w:pPr>
        <w:ind w:left="4719" w:hanging="432"/>
      </w:pPr>
      <w:rPr>
        <w:rFonts w:cs="Times New Roman" w:hint="default"/>
      </w:rPr>
    </w:lvl>
    <w:lvl w:ilvl="2">
      <w:start w:val="1"/>
      <w:numFmt w:val="lowerLetter"/>
      <w:lvlText w:val="%3)"/>
      <w:lvlJc w:val="left"/>
      <w:pPr>
        <w:ind w:left="5151" w:hanging="504"/>
      </w:pPr>
      <w:rPr>
        <w:rFonts w:cs="Times New Roman" w:hint="default"/>
        <w:color w:val="808080"/>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5" w15:restartNumberingAfterBreak="0">
    <w:nsid w:val="230A7FF1"/>
    <w:multiLevelType w:val="hybridMultilevel"/>
    <w:tmpl w:val="00E6C078"/>
    <w:lvl w:ilvl="0" w:tplc="1488E47C">
      <w:start w:val="14"/>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92C3F8D"/>
    <w:multiLevelType w:val="multilevel"/>
    <w:tmpl w:val="CD060DA6"/>
    <w:lvl w:ilvl="0">
      <w:start w:val="5"/>
      <w:numFmt w:val="decimal"/>
      <w:lvlText w:val="%1."/>
      <w:lvlJc w:val="left"/>
      <w:pPr>
        <w:ind w:left="4287" w:hanging="360"/>
      </w:pPr>
      <w:rPr>
        <w:rFonts w:cs="Times New Roman" w:hint="default"/>
      </w:rPr>
    </w:lvl>
    <w:lvl w:ilvl="1">
      <w:start w:val="1"/>
      <w:numFmt w:val="decimal"/>
      <w:lvlText w:val="%1.%2."/>
      <w:lvlJc w:val="left"/>
      <w:pPr>
        <w:ind w:left="4719" w:hanging="432"/>
      </w:pPr>
      <w:rPr>
        <w:rFonts w:cs="Times New Roman" w:hint="default"/>
      </w:rPr>
    </w:lvl>
    <w:lvl w:ilvl="2">
      <w:start w:val="1"/>
      <w:numFmt w:val="lowerLetter"/>
      <w:lvlText w:val="%3)"/>
      <w:lvlJc w:val="left"/>
      <w:pPr>
        <w:ind w:left="5151" w:hanging="504"/>
      </w:pPr>
      <w:rPr>
        <w:rFonts w:cs="Times New Roman" w:hint="default"/>
        <w:color w:val="808080"/>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7" w15:restartNumberingAfterBreak="0">
    <w:nsid w:val="2E510FBB"/>
    <w:multiLevelType w:val="multilevel"/>
    <w:tmpl w:val="D4DED13A"/>
    <w:lvl w:ilvl="0">
      <w:start w:val="5"/>
      <w:numFmt w:val="decimal"/>
      <w:lvlText w:val="%1."/>
      <w:lvlJc w:val="left"/>
      <w:pPr>
        <w:ind w:left="4287" w:hanging="360"/>
      </w:pPr>
      <w:rPr>
        <w:rFonts w:cs="Times New Roman" w:hint="default"/>
      </w:rPr>
    </w:lvl>
    <w:lvl w:ilvl="1">
      <w:start w:val="1"/>
      <w:numFmt w:val="decimal"/>
      <w:lvlText w:val="%1.%2."/>
      <w:lvlJc w:val="left"/>
      <w:pPr>
        <w:ind w:left="4719" w:hanging="432"/>
      </w:pPr>
      <w:rPr>
        <w:rFonts w:cs="Times New Roman" w:hint="default"/>
      </w:rPr>
    </w:lvl>
    <w:lvl w:ilvl="2">
      <w:start w:val="1"/>
      <w:numFmt w:val="lowerLetter"/>
      <w:lvlText w:val="%3)"/>
      <w:lvlJc w:val="left"/>
      <w:pPr>
        <w:ind w:left="5151" w:hanging="504"/>
      </w:pPr>
      <w:rPr>
        <w:rFonts w:cs="Times New Roman" w:hint="default"/>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8" w15:restartNumberingAfterBreak="0">
    <w:nsid w:val="33823B99"/>
    <w:multiLevelType w:val="hybridMultilevel"/>
    <w:tmpl w:val="A8182426"/>
    <w:lvl w:ilvl="0" w:tplc="11A67ACC">
      <w:start w:val="1"/>
      <w:numFmt w:val="lowerLetter"/>
      <w:lvlText w:val="%1)"/>
      <w:lvlJc w:val="left"/>
      <w:pPr>
        <w:ind w:left="720" w:hanging="360"/>
      </w:pPr>
      <w:rPr>
        <w:rFonts w:ascii="Calibri" w:hAnsi="Calibri" w:cs="Calibri" w:hint="default"/>
        <w:b/>
        <w:color w:val="80808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BD73AA"/>
    <w:multiLevelType w:val="multilevel"/>
    <w:tmpl w:val="A12EFF0E"/>
    <w:lvl w:ilvl="0">
      <w:start w:val="1"/>
      <w:numFmt w:val="decimal"/>
      <w:lvlText w:val="%1."/>
      <w:lvlJc w:val="left"/>
      <w:pPr>
        <w:ind w:left="4046" w:hanging="360"/>
      </w:pPr>
      <w:rPr>
        <w:rFonts w:cs="Times New Roman"/>
      </w:rPr>
    </w:lvl>
    <w:lvl w:ilvl="1">
      <w:start w:val="1"/>
      <w:numFmt w:val="decimal"/>
      <w:lvlText w:val="%1.%2."/>
      <w:lvlJc w:val="left"/>
      <w:pPr>
        <w:ind w:left="4719" w:hanging="432"/>
      </w:pPr>
      <w:rPr>
        <w:rFonts w:cs="Times New Roman"/>
      </w:rPr>
    </w:lvl>
    <w:lvl w:ilvl="2">
      <w:start w:val="1"/>
      <w:numFmt w:val="lowerLetter"/>
      <w:lvlText w:val="%3)"/>
      <w:lvlJc w:val="left"/>
      <w:pPr>
        <w:ind w:left="5151" w:hanging="504"/>
      </w:pPr>
      <w:rPr>
        <w:rFonts w:cs="Times New Roman" w:hint="default"/>
      </w:rPr>
    </w:lvl>
    <w:lvl w:ilvl="3">
      <w:start w:val="1"/>
      <w:numFmt w:val="decimal"/>
      <w:lvlText w:val="%1.%2.%3.%4."/>
      <w:lvlJc w:val="left"/>
      <w:pPr>
        <w:ind w:left="5655" w:hanging="648"/>
      </w:pPr>
      <w:rPr>
        <w:rFonts w:cs="Times New Roman"/>
      </w:rPr>
    </w:lvl>
    <w:lvl w:ilvl="4">
      <w:start w:val="1"/>
      <w:numFmt w:val="decimal"/>
      <w:lvlText w:val="%1.%2.%3.%4.%5."/>
      <w:lvlJc w:val="left"/>
      <w:pPr>
        <w:ind w:left="6159" w:hanging="792"/>
      </w:pPr>
      <w:rPr>
        <w:rFonts w:cs="Times New Roman"/>
      </w:rPr>
    </w:lvl>
    <w:lvl w:ilvl="5">
      <w:start w:val="1"/>
      <w:numFmt w:val="decimal"/>
      <w:lvlText w:val="%1.%2.%3.%4.%5.%6."/>
      <w:lvlJc w:val="left"/>
      <w:pPr>
        <w:ind w:left="6663" w:hanging="936"/>
      </w:pPr>
      <w:rPr>
        <w:rFonts w:cs="Times New Roman"/>
      </w:rPr>
    </w:lvl>
    <w:lvl w:ilvl="6">
      <w:start w:val="1"/>
      <w:numFmt w:val="decimal"/>
      <w:lvlText w:val="%1.%2.%3.%4.%5.%6.%7."/>
      <w:lvlJc w:val="left"/>
      <w:pPr>
        <w:ind w:left="7167" w:hanging="1080"/>
      </w:pPr>
      <w:rPr>
        <w:rFonts w:cs="Times New Roman"/>
      </w:rPr>
    </w:lvl>
    <w:lvl w:ilvl="7">
      <w:start w:val="1"/>
      <w:numFmt w:val="decimal"/>
      <w:lvlText w:val="%1.%2.%3.%4.%5.%6.%7.%8."/>
      <w:lvlJc w:val="left"/>
      <w:pPr>
        <w:ind w:left="7671" w:hanging="1224"/>
      </w:pPr>
      <w:rPr>
        <w:rFonts w:cs="Times New Roman"/>
      </w:rPr>
    </w:lvl>
    <w:lvl w:ilvl="8">
      <w:start w:val="1"/>
      <w:numFmt w:val="decimal"/>
      <w:lvlText w:val="%1.%2.%3.%4.%5.%6.%7.%8.%9."/>
      <w:lvlJc w:val="left"/>
      <w:pPr>
        <w:ind w:left="8247" w:hanging="1440"/>
      </w:pPr>
      <w:rPr>
        <w:rFonts w:cs="Times New Roman"/>
      </w:rPr>
    </w:lvl>
  </w:abstractNum>
  <w:abstractNum w:abstractNumId="10" w15:restartNumberingAfterBreak="0">
    <w:nsid w:val="384617E9"/>
    <w:multiLevelType w:val="hybridMultilevel"/>
    <w:tmpl w:val="5BDA1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D645FCA"/>
    <w:multiLevelType w:val="multilevel"/>
    <w:tmpl w:val="B50AE4E8"/>
    <w:lvl w:ilvl="0">
      <w:start w:val="1"/>
      <w:numFmt w:val="decimal"/>
      <w:lvlText w:val="%1."/>
      <w:lvlJc w:val="left"/>
      <w:pPr>
        <w:ind w:left="4046" w:hanging="360"/>
      </w:pPr>
      <w:rPr>
        <w:rFonts w:cs="Times New Roman" w:hint="default"/>
      </w:rPr>
    </w:lvl>
    <w:lvl w:ilvl="1">
      <w:start w:val="1"/>
      <w:numFmt w:val="decimal"/>
      <w:lvlText w:val="%1.%2."/>
      <w:lvlJc w:val="left"/>
      <w:pPr>
        <w:ind w:left="4719" w:hanging="432"/>
      </w:pPr>
      <w:rPr>
        <w:rFonts w:cs="Times New Roman" w:hint="default"/>
      </w:rPr>
    </w:lvl>
    <w:lvl w:ilvl="2">
      <w:start w:val="1"/>
      <w:numFmt w:val="lowerLetter"/>
      <w:lvlText w:val="%3)"/>
      <w:lvlJc w:val="left"/>
      <w:pPr>
        <w:ind w:left="5151" w:hanging="504"/>
      </w:pPr>
      <w:rPr>
        <w:rFonts w:cs="Times New Roman" w:hint="default"/>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12" w15:restartNumberingAfterBreak="0">
    <w:nsid w:val="48DE26C1"/>
    <w:multiLevelType w:val="multilevel"/>
    <w:tmpl w:val="A0428040"/>
    <w:lvl w:ilvl="0">
      <w:start w:val="5"/>
      <w:numFmt w:val="decimal"/>
      <w:lvlText w:val="%1."/>
      <w:lvlJc w:val="left"/>
      <w:pPr>
        <w:ind w:left="4287" w:hanging="360"/>
      </w:pPr>
      <w:rPr>
        <w:rFonts w:cs="Times New Roman" w:hint="default"/>
      </w:rPr>
    </w:lvl>
    <w:lvl w:ilvl="1">
      <w:start w:val="1"/>
      <w:numFmt w:val="decimal"/>
      <w:lvlText w:val="%1.%2."/>
      <w:lvlJc w:val="left"/>
      <w:pPr>
        <w:ind w:left="4719" w:hanging="432"/>
      </w:pPr>
      <w:rPr>
        <w:rFonts w:cs="Times New Roman" w:hint="default"/>
      </w:rPr>
    </w:lvl>
    <w:lvl w:ilvl="2">
      <w:start w:val="1"/>
      <w:numFmt w:val="lowerLetter"/>
      <w:lvlText w:val="%3)"/>
      <w:lvlJc w:val="left"/>
      <w:pPr>
        <w:ind w:left="5151" w:hanging="504"/>
      </w:pPr>
      <w:rPr>
        <w:rFonts w:cs="Times New Roman" w:hint="default"/>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13" w15:restartNumberingAfterBreak="0">
    <w:nsid w:val="49F73AF4"/>
    <w:multiLevelType w:val="hybridMultilevel"/>
    <w:tmpl w:val="A516C5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F4F4163"/>
    <w:multiLevelType w:val="multilevel"/>
    <w:tmpl w:val="CD060DA6"/>
    <w:lvl w:ilvl="0">
      <w:start w:val="5"/>
      <w:numFmt w:val="decimal"/>
      <w:lvlText w:val="%1."/>
      <w:lvlJc w:val="left"/>
      <w:pPr>
        <w:ind w:left="4287" w:hanging="360"/>
      </w:pPr>
      <w:rPr>
        <w:rFonts w:cs="Times New Roman" w:hint="default"/>
      </w:rPr>
    </w:lvl>
    <w:lvl w:ilvl="1">
      <w:start w:val="1"/>
      <w:numFmt w:val="decimal"/>
      <w:lvlText w:val="%1.%2."/>
      <w:lvlJc w:val="left"/>
      <w:pPr>
        <w:ind w:left="4719" w:hanging="432"/>
      </w:pPr>
      <w:rPr>
        <w:rFonts w:cs="Times New Roman" w:hint="default"/>
      </w:rPr>
    </w:lvl>
    <w:lvl w:ilvl="2">
      <w:start w:val="1"/>
      <w:numFmt w:val="lowerLetter"/>
      <w:lvlText w:val="%3)"/>
      <w:lvlJc w:val="left"/>
      <w:pPr>
        <w:ind w:left="5151" w:hanging="504"/>
      </w:pPr>
      <w:rPr>
        <w:rFonts w:cs="Times New Roman" w:hint="default"/>
        <w:color w:val="808080"/>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15" w15:restartNumberingAfterBreak="0">
    <w:nsid w:val="547E30F0"/>
    <w:multiLevelType w:val="multilevel"/>
    <w:tmpl w:val="D4DED13A"/>
    <w:lvl w:ilvl="0">
      <w:start w:val="5"/>
      <w:numFmt w:val="decimal"/>
      <w:lvlText w:val="%1."/>
      <w:lvlJc w:val="left"/>
      <w:pPr>
        <w:ind w:left="4287" w:hanging="360"/>
      </w:pPr>
      <w:rPr>
        <w:rFonts w:cs="Times New Roman" w:hint="default"/>
      </w:rPr>
    </w:lvl>
    <w:lvl w:ilvl="1">
      <w:start w:val="1"/>
      <w:numFmt w:val="decimal"/>
      <w:lvlText w:val="%1.%2."/>
      <w:lvlJc w:val="left"/>
      <w:pPr>
        <w:ind w:left="4719" w:hanging="432"/>
      </w:pPr>
      <w:rPr>
        <w:rFonts w:cs="Times New Roman" w:hint="default"/>
      </w:rPr>
    </w:lvl>
    <w:lvl w:ilvl="2">
      <w:start w:val="1"/>
      <w:numFmt w:val="lowerLetter"/>
      <w:lvlText w:val="%3)"/>
      <w:lvlJc w:val="left"/>
      <w:pPr>
        <w:ind w:left="5151" w:hanging="504"/>
      </w:pPr>
      <w:rPr>
        <w:rFonts w:cs="Times New Roman" w:hint="default"/>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16" w15:restartNumberingAfterBreak="0">
    <w:nsid w:val="548C3437"/>
    <w:multiLevelType w:val="multilevel"/>
    <w:tmpl w:val="67385B28"/>
    <w:lvl w:ilvl="0">
      <w:start w:val="5"/>
      <w:numFmt w:val="decimal"/>
      <w:lvlText w:val="%1."/>
      <w:lvlJc w:val="left"/>
      <w:pPr>
        <w:ind w:left="4287" w:hanging="360"/>
      </w:pPr>
      <w:rPr>
        <w:rFonts w:cs="Times New Roman" w:hint="default"/>
      </w:rPr>
    </w:lvl>
    <w:lvl w:ilvl="1">
      <w:start w:val="1"/>
      <w:numFmt w:val="decimal"/>
      <w:lvlText w:val="%1.%2."/>
      <w:lvlJc w:val="left"/>
      <w:pPr>
        <w:ind w:left="4719" w:hanging="432"/>
      </w:pPr>
      <w:rPr>
        <w:rFonts w:cs="Times New Roman" w:hint="default"/>
      </w:rPr>
    </w:lvl>
    <w:lvl w:ilvl="2">
      <w:start w:val="1"/>
      <w:numFmt w:val="lowerLetter"/>
      <w:lvlText w:val="%3)"/>
      <w:lvlJc w:val="left"/>
      <w:pPr>
        <w:ind w:left="5151" w:hanging="504"/>
      </w:pPr>
      <w:rPr>
        <w:rFonts w:cs="Times New Roman" w:hint="default"/>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17" w15:restartNumberingAfterBreak="0">
    <w:nsid w:val="578A0804"/>
    <w:multiLevelType w:val="hybridMultilevel"/>
    <w:tmpl w:val="A8182426"/>
    <w:lvl w:ilvl="0" w:tplc="11A67ACC">
      <w:start w:val="1"/>
      <w:numFmt w:val="lowerLetter"/>
      <w:lvlText w:val="%1)"/>
      <w:lvlJc w:val="left"/>
      <w:pPr>
        <w:ind w:left="720" w:hanging="360"/>
      </w:pPr>
      <w:rPr>
        <w:rFonts w:ascii="Calibri" w:hAnsi="Calibri" w:cs="Calibri" w:hint="default"/>
        <w:b/>
        <w:color w:val="80808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C2D642A"/>
    <w:multiLevelType w:val="multilevel"/>
    <w:tmpl w:val="18725704"/>
    <w:lvl w:ilvl="0">
      <w:start w:val="1"/>
      <w:numFmt w:val="decimal"/>
      <w:lvlText w:val="%1."/>
      <w:lvlJc w:val="left"/>
      <w:pPr>
        <w:ind w:left="4287" w:hanging="360"/>
      </w:pPr>
      <w:rPr>
        <w:rFonts w:ascii="Calibri" w:hAnsi="Calibri" w:cs="Calibri" w:hint="default"/>
        <w:sz w:val="22"/>
        <w:szCs w:val="22"/>
      </w:rPr>
    </w:lvl>
    <w:lvl w:ilvl="1">
      <w:start w:val="1"/>
      <w:numFmt w:val="decimal"/>
      <w:lvlText w:val="%1.%2."/>
      <w:lvlJc w:val="left"/>
      <w:pPr>
        <w:ind w:left="4719" w:hanging="432"/>
      </w:pPr>
      <w:rPr>
        <w:rFonts w:ascii="Calibri" w:hAnsi="Calibri" w:cs="Calibri" w:hint="default"/>
        <w:color w:val="808080"/>
        <w:sz w:val="20"/>
        <w:szCs w:val="20"/>
      </w:rPr>
    </w:lvl>
    <w:lvl w:ilvl="2">
      <w:start w:val="1"/>
      <w:numFmt w:val="lowerLetter"/>
      <w:lvlText w:val="%3)"/>
      <w:lvlJc w:val="left"/>
      <w:pPr>
        <w:ind w:left="5151" w:hanging="504"/>
      </w:pPr>
      <w:rPr>
        <w:rFonts w:cs="Times New Roman" w:hint="default"/>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19" w15:restartNumberingAfterBreak="0">
    <w:nsid w:val="6CD857B8"/>
    <w:multiLevelType w:val="multilevel"/>
    <w:tmpl w:val="18725704"/>
    <w:lvl w:ilvl="0">
      <w:start w:val="1"/>
      <w:numFmt w:val="decimal"/>
      <w:lvlText w:val="%1."/>
      <w:lvlJc w:val="left"/>
      <w:pPr>
        <w:ind w:left="4287" w:hanging="360"/>
      </w:pPr>
      <w:rPr>
        <w:rFonts w:ascii="Calibri" w:hAnsi="Calibri" w:cs="Calibri" w:hint="default"/>
        <w:sz w:val="22"/>
        <w:szCs w:val="22"/>
      </w:rPr>
    </w:lvl>
    <w:lvl w:ilvl="1">
      <w:start w:val="1"/>
      <w:numFmt w:val="decimal"/>
      <w:lvlText w:val="%1.%2."/>
      <w:lvlJc w:val="left"/>
      <w:pPr>
        <w:ind w:left="4719" w:hanging="432"/>
      </w:pPr>
      <w:rPr>
        <w:rFonts w:ascii="Calibri" w:hAnsi="Calibri" w:cs="Calibri" w:hint="default"/>
        <w:color w:val="808080"/>
        <w:sz w:val="20"/>
        <w:szCs w:val="20"/>
      </w:rPr>
    </w:lvl>
    <w:lvl w:ilvl="2">
      <w:start w:val="1"/>
      <w:numFmt w:val="lowerLetter"/>
      <w:lvlText w:val="%3)"/>
      <w:lvlJc w:val="left"/>
      <w:pPr>
        <w:ind w:left="5151" w:hanging="504"/>
      </w:pPr>
      <w:rPr>
        <w:rFonts w:cs="Times New Roman" w:hint="default"/>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20" w15:restartNumberingAfterBreak="0">
    <w:nsid w:val="6ECB2062"/>
    <w:multiLevelType w:val="hybridMultilevel"/>
    <w:tmpl w:val="A8182426"/>
    <w:lvl w:ilvl="0" w:tplc="11A67ACC">
      <w:start w:val="1"/>
      <w:numFmt w:val="lowerLetter"/>
      <w:lvlText w:val="%1)"/>
      <w:lvlJc w:val="left"/>
      <w:pPr>
        <w:ind w:left="720" w:hanging="360"/>
      </w:pPr>
      <w:rPr>
        <w:rFonts w:ascii="Calibri" w:hAnsi="Calibri" w:cs="Calibri" w:hint="default"/>
        <w:b/>
        <w:color w:val="80808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F556429"/>
    <w:multiLevelType w:val="hybridMultilevel"/>
    <w:tmpl w:val="A9DC069C"/>
    <w:lvl w:ilvl="0" w:tplc="04050017">
      <w:start w:val="1"/>
      <w:numFmt w:val="lowerLetter"/>
      <w:lvlText w:val="%1)"/>
      <w:lvlJc w:val="left"/>
      <w:pPr>
        <w:tabs>
          <w:tab w:val="num" w:pos="1429"/>
        </w:tabs>
        <w:ind w:left="1429" w:hanging="360"/>
      </w:pPr>
    </w:lvl>
    <w:lvl w:ilvl="1" w:tplc="04050019" w:tentative="1">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2" w15:restartNumberingAfterBreak="0">
    <w:nsid w:val="732C2E6D"/>
    <w:multiLevelType w:val="multilevel"/>
    <w:tmpl w:val="48B245AA"/>
    <w:lvl w:ilvl="0">
      <w:start w:val="5"/>
      <w:numFmt w:val="decimal"/>
      <w:lvlText w:val="%1."/>
      <w:lvlJc w:val="left"/>
      <w:pPr>
        <w:ind w:left="4287" w:hanging="360"/>
      </w:pPr>
      <w:rPr>
        <w:rFonts w:cs="Times New Roman" w:hint="default"/>
      </w:rPr>
    </w:lvl>
    <w:lvl w:ilvl="1">
      <w:start w:val="1"/>
      <w:numFmt w:val="decimal"/>
      <w:lvlText w:val="%1.%2."/>
      <w:lvlJc w:val="left"/>
      <w:pPr>
        <w:ind w:left="4719" w:hanging="432"/>
      </w:pPr>
      <w:rPr>
        <w:rFonts w:cs="Times New Roman" w:hint="default"/>
      </w:rPr>
    </w:lvl>
    <w:lvl w:ilvl="2">
      <w:start w:val="1"/>
      <w:numFmt w:val="lowerLetter"/>
      <w:lvlText w:val="%3)"/>
      <w:lvlJc w:val="left"/>
      <w:pPr>
        <w:ind w:left="5151" w:hanging="504"/>
      </w:pPr>
      <w:rPr>
        <w:rFonts w:cs="Times New Roman" w:hint="default"/>
      </w:rPr>
    </w:lvl>
    <w:lvl w:ilvl="3">
      <w:start w:val="1"/>
      <w:numFmt w:val="decimal"/>
      <w:lvlText w:val="%1.%2.%3.%4."/>
      <w:lvlJc w:val="left"/>
      <w:pPr>
        <w:ind w:left="5655" w:hanging="648"/>
      </w:pPr>
      <w:rPr>
        <w:rFonts w:cs="Times New Roman" w:hint="default"/>
      </w:rPr>
    </w:lvl>
    <w:lvl w:ilvl="4">
      <w:start w:val="1"/>
      <w:numFmt w:val="decimal"/>
      <w:lvlText w:val="%1.%2.%3.%4.%5."/>
      <w:lvlJc w:val="left"/>
      <w:pPr>
        <w:ind w:left="6159" w:hanging="792"/>
      </w:pPr>
      <w:rPr>
        <w:rFonts w:cs="Times New Roman" w:hint="default"/>
      </w:rPr>
    </w:lvl>
    <w:lvl w:ilvl="5">
      <w:start w:val="1"/>
      <w:numFmt w:val="decimal"/>
      <w:lvlText w:val="%1.%2.%3.%4.%5.%6."/>
      <w:lvlJc w:val="left"/>
      <w:pPr>
        <w:ind w:left="6663" w:hanging="936"/>
      </w:pPr>
      <w:rPr>
        <w:rFonts w:cs="Times New Roman" w:hint="default"/>
      </w:rPr>
    </w:lvl>
    <w:lvl w:ilvl="6">
      <w:start w:val="1"/>
      <w:numFmt w:val="decimal"/>
      <w:lvlText w:val="%1.%2.%3.%4.%5.%6.%7."/>
      <w:lvlJc w:val="left"/>
      <w:pPr>
        <w:ind w:left="7167" w:hanging="1080"/>
      </w:pPr>
      <w:rPr>
        <w:rFonts w:cs="Times New Roman" w:hint="default"/>
      </w:rPr>
    </w:lvl>
    <w:lvl w:ilvl="7">
      <w:start w:val="1"/>
      <w:numFmt w:val="decimal"/>
      <w:lvlText w:val="%1.%2.%3.%4.%5.%6.%7.%8."/>
      <w:lvlJc w:val="left"/>
      <w:pPr>
        <w:ind w:left="7671" w:hanging="1224"/>
      </w:pPr>
      <w:rPr>
        <w:rFonts w:cs="Times New Roman" w:hint="default"/>
      </w:rPr>
    </w:lvl>
    <w:lvl w:ilvl="8">
      <w:start w:val="1"/>
      <w:numFmt w:val="decimal"/>
      <w:lvlText w:val="%1.%2.%3.%4.%5.%6.%7.%8.%9."/>
      <w:lvlJc w:val="left"/>
      <w:pPr>
        <w:ind w:left="8247" w:hanging="1440"/>
      </w:pPr>
      <w:rPr>
        <w:rFonts w:cs="Times New Roman" w:hint="default"/>
      </w:rPr>
    </w:lvl>
  </w:abstractNum>
  <w:abstractNum w:abstractNumId="23" w15:restartNumberingAfterBreak="0">
    <w:nsid w:val="73F60817"/>
    <w:multiLevelType w:val="hybridMultilevel"/>
    <w:tmpl w:val="7C400C16"/>
    <w:lvl w:ilvl="0" w:tplc="0FDEFD42">
      <w:start w:val="7"/>
      <w:numFmt w:val="bullet"/>
      <w:lvlText w:val="-"/>
      <w:lvlJc w:val="left"/>
      <w:pPr>
        <w:ind w:left="644" w:hanging="360"/>
      </w:pPr>
      <w:rPr>
        <w:rFonts w:ascii="Calibri" w:eastAsia="Arial Unicode MS" w:hAnsi="Calibri" w:hint="default"/>
      </w:rPr>
    </w:lvl>
    <w:lvl w:ilvl="1" w:tplc="04050003" w:tentative="1">
      <w:start w:val="1"/>
      <w:numFmt w:val="bullet"/>
      <w:lvlText w:val="o"/>
      <w:lvlJc w:val="left"/>
      <w:pPr>
        <w:ind w:left="1364" w:hanging="360"/>
      </w:pPr>
      <w:rPr>
        <w:rFonts w:ascii="Courier New" w:hAnsi="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4" w15:restartNumberingAfterBreak="0">
    <w:nsid w:val="742B6D1E"/>
    <w:multiLevelType w:val="hybridMultilevel"/>
    <w:tmpl w:val="9F2C08CC"/>
    <w:lvl w:ilvl="0" w:tplc="B888C504">
      <w:start w:val="1"/>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7E30071"/>
    <w:multiLevelType w:val="hybridMultilevel"/>
    <w:tmpl w:val="B1909172"/>
    <w:lvl w:ilvl="0" w:tplc="E86E8486">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8"/>
  </w:num>
  <w:num w:numId="4">
    <w:abstractNumId w:val="12"/>
  </w:num>
  <w:num w:numId="5">
    <w:abstractNumId w:val="3"/>
  </w:num>
  <w:num w:numId="6">
    <w:abstractNumId w:val="16"/>
  </w:num>
  <w:num w:numId="7">
    <w:abstractNumId w:val="6"/>
  </w:num>
  <w:num w:numId="8">
    <w:abstractNumId w:val="22"/>
  </w:num>
  <w:num w:numId="9">
    <w:abstractNumId w:val="4"/>
  </w:num>
  <w:num w:numId="10">
    <w:abstractNumId w:val="7"/>
  </w:num>
  <w:num w:numId="11">
    <w:abstractNumId w:val="25"/>
  </w:num>
  <w:num w:numId="12">
    <w:abstractNumId w:val="24"/>
  </w:num>
  <w:num w:numId="13">
    <w:abstractNumId w:val="5"/>
  </w:num>
  <w:num w:numId="14">
    <w:abstractNumId w:val="23"/>
  </w:num>
  <w:num w:numId="15">
    <w:abstractNumId w:val="11"/>
  </w:num>
  <w:num w:numId="16">
    <w:abstractNumId w:val="13"/>
  </w:num>
  <w:num w:numId="17">
    <w:abstractNumId w:val="20"/>
  </w:num>
  <w:num w:numId="18">
    <w:abstractNumId w:val="8"/>
  </w:num>
  <w:num w:numId="19">
    <w:abstractNumId w:val="1"/>
  </w:num>
  <w:num w:numId="20">
    <w:abstractNumId w:val="21"/>
  </w:num>
  <w:num w:numId="21">
    <w:abstractNumId w:val="17"/>
  </w:num>
  <w:num w:numId="22">
    <w:abstractNumId w:val="0"/>
  </w:num>
  <w:num w:numId="23">
    <w:abstractNumId w:val="14"/>
  </w:num>
  <w:num w:numId="24">
    <w:abstractNumId w:val="0"/>
  </w:num>
  <w:num w:numId="25">
    <w:abstractNumId w:val="0"/>
  </w:num>
  <w:num w:numId="26">
    <w:abstractNumId w:val="0"/>
  </w:num>
  <w:num w:numId="27">
    <w:abstractNumId w:val="0"/>
  </w:num>
  <w:num w:numId="28">
    <w:abstractNumId w:val="15"/>
  </w:num>
  <w:num w:numId="29">
    <w:abstractNumId w:val="0"/>
  </w:num>
  <w:num w:numId="30">
    <w:abstractNumId w:val="0"/>
  </w:num>
  <w:num w:numId="31">
    <w:abstractNumId w:val="0"/>
  </w:num>
  <w:num w:numId="32">
    <w:abstractNumId w:val="9"/>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10"/>
  </w:num>
  <w:num w:numId="45">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5231"/>
    <w:rsid w:val="00000E46"/>
    <w:rsid w:val="00001E61"/>
    <w:rsid w:val="00001EFA"/>
    <w:rsid w:val="00002204"/>
    <w:rsid w:val="00002B4E"/>
    <w:rsid w:val="00003BB7"/>
    <w:rsid w:val="0000568C"/>
    <w:rsid w:val="00011319"/>
    <w:rsid w:val="00011D89"/>
    <w:rsid w:val="00011F13"/>
    <w:rsid w:val="00012112"/>
    <w:rsid w:val="0001218A"/>
    <w:rsid w:val="000121C8"/>
    <w:rsid w:val="00012309"/>
    <w:rsid w:val="00012803"/>
    <w:rsid w:val="00012C76"/>
    <w:rsid w:val="00013F93"/>
    <w:rsid w:val="00016AD8"/>
    <w:rsid w:val="00016EAC"/>
    <w:rsid w:val="00017057"/>
    <w:rsid w:val="0001798F"/>
    <w:rsid w:val="00023A36"/>
    <w:rsid w:val="0002551E"/>
    <w:rsid w:val="00025AA7"/>
    <w:rsid w:val="000301EB"/>
    <w:rsid w:val="00030B28"/>
    <w:rsid w:val="00032EC2"/>
    <w:rsid w:val="000342EA"/>
    <w:rsid w:val="00034E46"/>
    <w:rsid w:val="00034F3E"/>
    <w:rsid w:val="0003726F"/>
    <w:rsid w:val="0003790D"/>
    <w:rsid w:val="00037AAB"/>
    <w:rsid w:val="00037D2C"/>
    <w:rsid w:val="00037F9D"/>
    <w:rsid w:val="0004018F"/>
    <w:rsid w:val="0004106B"/>
    <w:rsid w:val="000410E8"/>
    <w:rsid w:val="0004191B"/>
    <w:rsid w:val="000429CC"/>
    <w:rsid w:val="000464D2"/>
    <w:rsid w:val="00051194"/>
    <w:rsid w:val="00051221"/>
    <w:rsid w:val="00052284"/>
    <w:rsid w:val="00054894"/>
    <w:rsid w:val="00054E26"/>
    <w:rsid w:val="00055BD2"/>
    <w:rsid w:val="0005733A"/>
    <w:rsid w:val="00057552"/>
    <w:rsid w:val="0006030E"/>
    <w:rsid w:val="00063506"/>
    <w:rsid w:val="00065B56"/>
    <w:rsid w:val="0006634F"/>
    <w:rsid w:val="00066D9A"/>
    <w:rsid w:val="00070429"/>
    <w:rsid w:val="000707B7"/>
    <w:rsid w:val="00071014"/>
    <w:rsid w:val="000712B5"/>
    <w:rsid w:val="0007184E"/>
    <w:rsid w:val="00072B8E"/>
    <w:rsid w:val="00074712"/>
    <w:rsid w:val="00075339"/>
    <w:rsid w:val="00076603"/>
    <w:rsid w:val="0007697B"/>
    <w:rsid w:val="00076F89"/>
    <w:rsid w:val="00077824"/>
    <w:rsid w:val="0008023E"/>
    <w:rsid w:val="00080A59"/>
    <w:rsid w:val="00081AC7"/>
    <w:rsid w:val="00083A05"/>
    <w:rsid w:val="00083DA0"/>
    <w:rsid w:val="000840A8"/>
    <w:rsid w:val="00084558"/>
    <w:rsid w:val="000866FC"/>
    <w:rsid w:val="00087CDC"/>
    <w:rsid w:val="00090E5E"/>
    <w:rsid w:val="0009130D"/>
    <w:rsid w:val="00091ED3"/>
    <w:rsid w:val="0009316B"/>
    <w:rsid w:val="000932F4"/>
    <w:rsid w:val="00093FDD"/>
    <w:rsid w:val="00094CE5"/>
    <w:rsid w:val="00094E0F"/>
    <w:rsid w:val="00095CBE"/>
    <w:rsid w:val="00096627"/>
    <w:rsid w:val="0009707B"/>
    <w:rsid w:val="000A17A8"/>
    <w:rsid w:val="000A25F9"/>
    <w:rsid w:val="000A3072"/>
    <w:rsid w:val="000A33F9"/>
    <w:rsid w:val="000A377B"/>
    <w:rsid w:val="000A526E"/>
    <w:rsid w:val="000A5D20"/>
    <w:rsid w:val="000A5F50"/>
    <w:rsid w:val="000A678D"/>
    <w:rsid w:val="000B077B"/>
    <w:rsid w:val="000B2AA7"/>
    <w:rsid w:val="000B368E"/>
    <w:rsid w:val="000B3E63"/>
    <w:rsid w:val="000B458A"/>
    <w:rsid w:val="000B46EB"/>
    <w:rsid w:val="000B4D36"/>
    <w:rsid w:val="000B6071"/>
    <w:rsid w:val="000B61A7"/>
    <w:rsid w:val="000C2605"/>
    <w:rsid w:val="000C3AD9"/>
    <w:rsid w:val="000C5028"/>
    <w:rsid w:val="000C59B4"/>
    <w:rsid w:val="000C5E05"/>
    <w:rsid w:val="000C6021"/>
    <w:rsid w:val="000C6270"/>
    <w:rsid w:val="000C6DC8"/>
    <w:rsid w:val="000C7B55"/>
    <w:rsid w:val="000D0E86"/>
    <w:rsid w:val="000D1976"/>
    <w:rsid w:val="000D1F32"/>
    <w:rsid w:val="000D2C4E"/>
    <w:rsid w:val="000D2C92"/>
    <w:rsid w:val="000D36D4"/>
    <w:rsid w:val="000D43A2"/>
    <w:rsid w:val="000D5EF9"/>
    <w:rsid w:val="000D6059"/>
    <w:rsid w:val="000D639C"/>
    <w:rsid w:val="000D6451"/>
    <w:rsid w:val="000D7706"/>
    <w:rsid w:val="000E03A9"/>
    <w:rsid w:val="000E250D"/>
    <w:rsid w:val="000E3F7F"/>
    <w:rsid w:val="000E444E"/>
    <w:rsid w:val="000E4473"/>
    <w:rsid w:val="000E4E6A"/>
    <w:rsid w:val="000E5200"/>
    <w:rsid w:val="000E55BD"/>
    <w:rsid w:val="000E6BDD"/>
    <w:rsid w:val="000E6C1D"/>
    <w:rsid w:val="000F0066"/>
    <w:rsid w:val="000F11DF"/>
    <w:rsid w:val="000F3288"/>
    <w:rsid w:val="000F33FC"/>
    <w:rsid w:val="000F7D7E"/>
    <w:rsid w:val="0010007E"/>
    <w:rsid w:val="00100B7A"/>
    <w:rsid w:val="00100D61"/>
    <w:rsid w:val="00100E3F"/>
    <w:rsid w:val="00101897"/>
    <w:rsid w:val="00101A44"/>
    <w:rsid w:val="001043DA"/>
    <w:rsid w:val="00104E64"/>
    <w:rsid w:val="001058DB"/>
    <w:rsid w:val="0010732F"/>
    <w:rsid w:val="0011042C"/>
    <w:rsid w:val="0011093C"/>
    <w:rsid w:val="00110B4D"/>
    <w:rsid w:val="0011124F"/>
    <w:rsid w:val="00111EB4"/>
    <w:rsid w:val="001144E8"/>
    <w:rsid w:val="001146E1"/>
    <w:rsid w:val="001151A1"/>
    <w:rsid w:val="001169C4"/>
    <w:rsid w:val="0011763E"/>
    <w:rsid w:val="0012011C"/>
    <w:rsid w:val="00120DCF"/>
    <w:rsid w:val="00122866"/>
    <w:rsid w:val="00122D28"/>
    <w:rsid w:val="001237A3"/>
    <w:rsid w:val="00123A54"/>
    <w:rsid w:val="00125186"/>
    <w:rsid w:val="00125929"/>
    <w:rsid w:val="0012635B"/>
    <w:rsid w:val="00130481"/>
    <w:rsid w:val="001333C1"/>
    <w:rsid w:val="00133EA6"/>
    <w:rsid w:val="00134453"/>
    <w:rsid w:val="001349C9"/>
    <w:rsid w:val="001354DC"/>
    <w:rsid w:val="001358B6"/>
    <w:rsid w:val="00135D2C"/>
    <w:rsid w:val="001376D1"/>
    <w:rsid w:val="00141B50"/>
    <w:rsid w:val="00141F61"/>
    <w:rsid w:val="00143FFC"/>
    <w:rsid w:val="001474E0"/>
    <w:rsid w:val="00151FA3"/>
    <w:rsid w:val="001541FB"/>
    <w:rsid w:val="00154556"/>
    <w:rsid w:val="00156E25"/>
    <w:rsid w:val="001572FA"/>
    <w:rsid w:val="001575B7"/>
    <w:rsid w:val="00160F18"/>
    <w:rsid w:val="00163BC9"/>
    <w:rsid w:val="001647DC"/>
    <w:rsid w:val="00165486"/>
    <w:rsid w:val="00166137"/>
    <w:rsid w:val="001714BD"/>
    <w:rsid w:val="00171CF0"/>
    <w:rsid w:val="001736A6"/>
    <w:rsid w:val="001738F9"/>
    <w:rsid w:val="001740BC"/>
    <w:rsid w:val="00174F57"/>
    <w:rsid w:val="0017623F"/>
    <w:rsid w:val="0018018F"/>
    <w:rsid w:val="001802A8"/>
    <w:rsid w:val="00181606"/>
    <w:rsid w:val="00182CBD"/>
    <w:rsid w:val="001842D4"/>
    <w:rsid w:val="00184737"/>
    <w:rsid w:val="0018578A"/>
    <w:rsid w:val="00187A9F"/>
    <w:rsid w:val="00192013"/>
    <w:rsid w:val="00192283"/>
    <w:rsid w:val="00192A76"/>
    <w:rsid w:val="0019332C"/>
    <w:rsid w:val="0019409E"/>
    <w:rsid w:val="00194CA7"/>
    <w:rsid w:val="0019518E"/>
    <w:rsid w:val="0019586A"/>
    <w:rsid w:val="00195FE6"/>
    <w:rsid w:val="00196FE1"/>
    <w:rsid w:val="001A17C7"/>
    <w:rsid w:val="001A2C7F"/>
    <w:rsid w:val="001A34F9"/>
    <w:rsid w:val="001A41F4"/>
    <w:rsid w:val="001A43EC"/>
    <w:rsid w:val="001A496D"/>
    <w:rsid w:val="001B2A12"/>
    <w:rsid w:val="001B3263"/>
    <w:rsid w:val="001B36B0"/>
    <w:rsid w:val="001B3A09"/>
    <w:rsid w:val="001B3C94"/>
    <w:rsid w:val="001B4A52"/>
    <w:rsid w:val="001B714C"/>
    <w:rsid w:val="001B7CB7"/>
    <w:rsid w:val="001B7DD9"/>
    <w:rsid w:val="001B7F13"/>
    <w:rsid w:val="001C12EC"/>
    <w:rsid w:val="001C1640"/>
    <w:rsid w:val="001C4AA4"/>
    <w:rsid w:val="001C522A"/>
    <w:rsid w:val="001C6209"/>
    <w:rsid w:val="001C66A2"/>
    <w:rsid w:val="001C7D16"/>
    <w:rsid w:val="001C7F7E"/>
    <w:rsid w:val="001D0457"/>
    <w:rsid w:val="001D3208"/>
    <w:rsid w:val="001D444D"/>
    <w:rsid w:val="001D63CE"/>
    <w:rsid w:val="001D75E3"/>
    <w:rsid w:val="001E0042"/>
    <w:rsid w:val="001E2221"/>
    <w:rsid w:val="001E22EB"/>
    <w:rsid w:val="001E4093"/>
    <w:rsid w:val="001E4D0D"/>
    <w:rsid w:val="001E5188"/>
    <w:rsid w:val="001E6E4A"/>
    <w:rsid w:val="001E715E"/>
    <w:rsid w:val="001E71E0"/>
    <w:rsid w:val="001E736D"/>
    <w:rsid w:val="001F1E76"/>
    <w:rsid w:val="001F1FD9"/>
    <w:rsid w:val="001F331B"/>
    <w:rsid w:val="001F6273"/>
    <w:rsid w:val="001F647D"/>
    <w:rsid w:val="001F66AD"/>
    <w:rsid w:val="001F70F5"/>
    <w:rsid w:val="001F72E8"/>
    <w:rsid w:val="00202830"/>
    <w:rsid w:val="00202E13"/>
    <w:rsid w:val="002034DB"/>
    <w:rsid w:val="00203BCA"/>
    <w:rsid w:val="00206842"/>
    <w:rsid w:val="002071F4"/>
    <w:rsid w:val="00207350"/>
    <w:rsid w:val="00213C98"/>
    <w:rsid w:val="00213E93"/>
    <w:rsid w:val="00220ACE"/>
    <w:rsid w:val="00221854"/>
    <w:rsid w:val="002223C3"/>
    <w:rsid w:val="002227DC"/>
    <w:rsid w:val="002229E7"/>
    <w:rsid w:val="00224658"/>
    <w:rsid w:val="00225714"/>
    <w:rsid w:val="00225966"/>
    <w:rsid w:val="00230459"/>
    <w:rsid w:val="0023074A"/>
    <w:rsid w:val="002313F5"/>
    <w:rsid w:val="0023531E"/>
    <w:rsid w:val="002370D8"/>
    <w:rsid w:val="00237F11"/>
    <w:rsid w:val="00240415"/>
    <w:rsid w:val="0024149D"/>
    <w:rsid w:val="00243539"/>
    <w:rsid w:val="002440E9"/>
    <w:rsid w:val="00244214"/>
    <w:rsid w:val="00246DB9"/>
    <w:rsid w:val="0024706B"/>
    <w:rsid w:val="00247395"/>
    <w:rsid w:val="00252896"/>
    <w:rsid w:val="0025512C"/>
    <w:rsid w:val="0025561C"/>
    <w:rsid w:val="00255DD3"/>
    <w:rsid w:val="00256786"/>
    <w:rsid w:val="00256B0C"/>
    <w:rsid w:val="00257FC8"/>
    <w:rsid w:val="00260A2C"/>
    <w:rsid w:val="0026260E"/>
    <w:rsid w:val="002638A1"/>
    <w:rsid w:val="002666C6"/>
    <w:rsid w:val="0026686F"/>
    <w:rsid w:val="0027024C"/>
    <w:rsid w:val="00274E25"/>
    <w:rsid w:val="00275B64"/>
    <w:rsid w:val="00276031"/>
    <w:rsid w:val="00276C97"/>
    <w:rsid w:val="00281054"/>
    <w:rsid w:val="002816CF"/>
    <w:rsid w:val="002818BD"/>
    <w:rsid w:val="00282F0B"/>
    <w:rsid w:val="002831B1"/>
    <w:rsid w:val="00284C3F"/>
    <w:rsid w:val="00290B35"/>
    <w:rsid w:val="0029190A"/>
    <w:rsid w:val="00294139"/>
    <w:rsid w:val="00294758"/>
    <w:rsid w:val="002949EE"/>
    <w:rsid w:val="00294A34"/>
    <w:rsid w:val="00294CA0"/>
    <w:rsid w:val="0029546F"/>
    <w:rsid w:val="002958C6"/>
    <w:rsid w:val="0029717B"/>
    <w:rsid w:val="002A36ED"/>
    <w:rsid w:val="002A4CCC"/>
    <w:rsid w:val="002A5303"/>
    <w:rsid w:val="002A5746"/>
    <w:rsid w:val="002B0C69"/>
    <w:rsid w:val="002B1B9B"/>
    <w:rsid w:val="002B1E64"/>
    <w:rsid w:val="002B1F3C"/>
    <w:rsid w:val="002B5C21"/>
    <w:rsid w:val="002B5F11"/>
    <w:rsid w:val="002B7603"/>
    <w:rsid w:val="002B7BFC"/>
    <w:rsid w:val="002B7E04"/>
    <w:rsid w:val="002C0C3A"/>
    <w:rsid w:val="002C14FC"/>
    <w:rsid w:val="002C2791"/>
    <w:rsid w:val="002C3818"/>
    <w:rsid w:val="002C5CAE"/>
    <w:rsid w:val="002C71A2"/>
    <w:rsid w:val="002C7BE3"/>
    <w:rsid w:val="002C7FA8"/>
    <w:rsid w:val="002D07A0"/>
    <w:rsid w:val="002D1FEA"/>
    <w:rsid w:val="002D303E"/>
    <w:rsid w:val="002D549F"/>
    <w:rsid w:val="002D576F"/>
    <w:rsid w:val="002D5F2A"/>
    <w:rsid w:val="002D6C66"/>
    <w:rsid w:val="002D7746"/>
    <w:rsid w:val="002D7C69"/>
    <w:rsid w:val="002E31FF"/>
    <w:rsid w:val="002E388D"/>
    <w:rsid w:val="002E3938"/>
    <w:rsid w:val="002E3BC5"/>
    <w:rsid w:val="002E6B28"/>
    <w:rsid w:val="002E6FDD"/>
    <w:rsid w:val="002E7444"/>
    <w:rsid w:val="002F0840"/>
    <w:rsid w:val="002F09DA"/>
    <w:rsid w:val="002F3832"/>
    <w:rsid w:val="002F7A8A"/>
    <w:rsid w:val="002F7B53"/>
    <w:rsid w:val="00301A7D"/>
    <w:rsid w:val="00302498"/>
    <w:rsid w:val="00302518"/>
    <w:rsid w:val="003037A7"/>
    <w:rsid w:val="003100A0"/>
    <w:rsid w:val="00311693"/>
    <w:rsid w:val="00311AFB"/>
    <w:rsid w:val="00312126"/>
    <w:rsid w:val="00312A18"/>
    <w:rsid w:val="0031433C"/>
    <w:rsid w:val="00314802"/>
    <w:rsid w:val="00315136"/>
    <w:rsid w:val="0031690A"/>
    <w:rsid w:val="00317E21"/>
    <w:rsid w:val="003212CE"/>
    <w:rsid w:val="003229EE"/>
    <w:rsid w:val="00325AFA"/>
    <w:rsid w:val="00325D7C"/>
    <w:rsid w:val="00327D37"/>
    <w:rsid w:val="00327DCF"/>
    <w:rsid w:val="00330D67"/>
    <w:rsid w:val="0033390E"/>
    <w:rsid w:val="00334612"/>
    <w:rsid w:val="00335973"/>
    <w:rsid w:val="0033748B"/>
    <w:rsid w:val="00340B88"/>
    <w:rsid w:val="00340E96"/>
    <w:rsid w:val="003420E2"/>
    <w:rsid w:val="003428DC"/>
    <w:rsid w:val="00344173"/>
    <w:rsid w:val="0034741E"/>
    <w:rsid w:val="0035095E"/>
    <w:rsid w:val="00351D4F"/>
    <w:rsid w:val="00352A66"/>
    <w:rsid w:val="00353A01"/>
    <w:rsid w:val="003543CA"/>
    <w:rsid w:val="00354E6E"/>
    <w:rsid w:val="00355251"/>
    <w:rsid w:val="00355A5B"/>
    <w:rsid w:val="0035717F"/>
    <w:rsid w:val="00357C58"/>
    <w:rsid w:val="0036051D"/>
    <w:rsid w:val="00365E96"/>
    <w:rsid w:val="00366EBC"/>
    <w:rsid w:val="0036747D"/>
    <w:rsid w:val="00370638"/>
    <w:rsid w:val="00373065"/>
    <w:rsid w:val="003760D9"/>
    <w:rsid w:val="00380D8B"/>
    <w:rsid w:val="00383019"/>
    <w:rsid w:val="0038334A"/>
    <w:rsid w:val="00383749"/>
    <w:rsid w:val="003845C9"/>
    <w:rsid w:val="00387CF5"/>
    <w:rsid w:val="00387F66"/>
    <w:rsid w:val="003909B2"/>
    <w:rsid w:val="00393750"/>
    <w:rsid w:val="00393A68"/>
    <w:rsid w:val="003A02C3"/>
    <w:rsid w:val="003A058B"/>
    <w:rsid w:val="003A0FFF"/>
    <w:rsid w:val="003A1019"/>
    <w:rsid w:val="003A1415"/>
    <w:rsid w:val="003A236A"/>
    <w:rsid w:val="003A33E0"/>
    <w:rsid w:val="003A3454"/>
    <w:rsid w:val="003A36FF"/>
    <w:rsid w:val="003A471F"/>
    <w:rsid w:val="003A5014"/>
    <w:rsid w:val="003A5164"/>
    <w:rsid w:val="003A7EBB"/>
    <w:rsid w:val="003A7F6E"/>
    <w:rsid w:val="003B295E"/>
    <w:rsid w:val="003B45AC"/>
    <w:rsid w:val="003B48D9"/>
    <w:rsid w:val="003B67E9"/>
    <w:rsid w:val="003B6B0C"/>
    <w:rsid w:val="003C3C55"/>
    <w:rsid w:val="003C3D41"/>
    <w:rsid w:val="003C3E34"/>
    <w:rsid w:val="003C4B22"/>
    <w:rsid w:val="003C65AF"/>
    <w:rsid w:val="003D08CF"/>
    <w:rsid w:val="003D10AC"/>
    <w:rsid w:val="003D1C6B"/>
    <w:rsid w:val="003D2449"/>
    <w:rsid w:val="003D3187"/>
    <w:rsid w:val="003D3CC8"/>
    <w:rsid w:val="003D4144"/>
    <w:rsid w:val="003D6D34"/>
    <w:rsid w:val="003D6D94"/>
    <w:rsid w:val="003D7443"/>
    <w:rsid w:val="003E2E8B"/>
    <w:rsid w:val="003E5329"/>
    <w:rsid w:val="003E6C52"/>
    <w:rsid w:val="003E6E27"/>
    <w:rsid w:val="003F26DE"/>
    <w:rsid w:val="003F3AE7"/>
    <w:rsid w:val="003F3D51"/>
    <w:rsid w:val="003F4FEF"/>
    <w:rsid w:val="003F50C4"/>
    <w:rsid w:val="003F5231"/>
    <w:rsid w:val="003F7C1F"/>
    <w:rsid w:val="00400611"/>
    <w:rsid w:val="0040064C"/>
    <w:rsid w:val="00400BEE"/>
    <w:rsid w:val="00402A1F"/>
    <w:rsid w:val="00403059"/>
    <w:rsid w:val="00404F1D"/>
    <w:rsid w:val="0040550C"/>
    <w:rsid w:val="00405924"/>
    <w:rsid w:val="004101EE"/>
    <w:rsid w:val="004108B7"/>
    <w:rsid w:val="00410A21"/>
    <w:rsid w:val="00410B0A"/>
    <w:rsid w:val="00411A31"/>
    <w:rsid w:val="00411C64"/>
    <w:rsid w:val="00411D51"/>
    <w:rsid w:val="00412632"/>
    <w:rsid w:val="00413324"/>
    <w:rsid w:val="00414146"/>
    <w:rsid w:val="004173DF"/>
    <w:rsid w:val="00421019"/>
    <w:rsid w:val="00422ABD"/>
    <w:rsid w:val="0042409F"/>
    <w:rsid w:val="004276BF"/>
    <w:rsid w:val="00430864"/>
    <w:rsid w:val="00431B22"/>
    <w:rsid w:val="004324D2"/>
    <w:rsid w:val="00432E31"/>
    <w:rsid w:val="0043356C"/>
    <w:rsid w:val="00433A98"/>
    <w:rsid w:val="00435F09"/>
    <w:rsid w:val="00437AAF"/>
    <w:rsid w:val="00440DFD"/>
    <w:rsid w:val="00441D03"/>
    <w:rsid w:val="00442AF2"/>
    <w:rsid w:val="0044422C"/>
    <w:rsid w:val="00445FDD"/>
    <w:rsid w:val="0044690B"/>
    <w:rsid w:val="004478FA"/>
    <w:rsid w:val="00451331"/>
    <w:rsid w:val="0045337A"/>
    <w:rsid w:val="004535F3"/>
    <w:rsid w:val="0045385A"/>
    <w:rsid w:val="00454E6D"/>
    <w:rsid w:val="004551FD"/>
    <w:rsid w:val="00455386"/>
    <w:rsid w:val="00455F1F"/>
    <w:rsid w:val="004606C9"/>
    <w:rsid w:val="00461FBC"/>
    <w:rsid w:val="00462844"/>
    <w:rsid w:val="00462D8F"/>
    <w:rsid w:val="00464335"/>
    <w:rsid w:val="00464B72"/>
    <w:rsid w:val="0046509C"/>
    <w:rsid w:val="004658F6"/>
    <w:rsid w:val="00466589"/>
    <w:rsid w:val="00466D58"/>
    <w:rsid w:val="004704B3"/>
    <w:rsid w:val="004711A1"/>
    <w:rsid w:val="004715B1"/>
    <w:rsid w:val="00472148"/>
    <w:rsid w:val="0047322B"/>
    <w:rsid w:val="004741C6"/>
    <w:rsid w:val="00477367"/>
    <w:rsid w:val="00482776"/>
    <w:rsid w:val="00482FE4"/>
    <w:rsid w:val="00486699"/>
    <w:rsid w:val="00490ECE"/>
    <w:rsid w:val="004922A2"/>
    <w:rsid w:val="00492AC2"/>
    <w:rsid w:val="00492EF6"/>
    <w:rsid w:val="00494583"/>
    <w:rsid w:val="004950BC"/>
    <w:rsid w:val="00495DBF"/>
    <w:rsid w:val="00497EFB"/>
    <w:rsid w:val="004A0029"/>
    <w:rsid w:val="004A0A89"/>
    <w:rsid w:val="004A0C64"/>
    <w:rsid w:val="004A0CCC"/>
    <w:rsid w:val="004A0FA6"/>
    <w:rsid w:val="004A2B62"/>
    <w:rsid w:val="004A2BEB"/>
    <w:rsid w:val="004A39A5"/>
    <w:rsid w:val="004A3C06"/>
    <w:rsid w:val="004A557E"/>
    <w:rsid w:val="004A5799"/>
    <w:rsid w:val="004A6322"/>
    <w:rsid w:val="004A7654"/>
    <w:rsid w:val="004A77CE"/>
    <w:rsid w:val="004B13AD"/>
    <w:rsid w:val="004B622C"/>
    <w:rsid w:val="004B6BBF"/>
    <w:rsid w:val="004C0D2D"/>
    <w:rsid w:val="004C105B"/>
    <w:rsid w:val="004C13B8"/>
    <w:rsid w:val="004C15C0"/>
    <w:rsid w:val="004C1AB0"/>
    <w:rsid w:val="004C359A"/>
    <w:rsid w:val="004C4993"/>
    <w:rsid w:val="004C63DC"/>
    <w:rsid w:val="004C7606"/>
    <w:rsid w:val="004D206E"/>
    <w:rsid w:val="004D2D23"/>
    <w:rsid w:val="004D340D"/>
    <w:rsid w:val="004D38B6"/>
    <w:rsid w:val="004D39EF"/>
    <w:rsid w:val="004D3A44"/>
    <w:rsid w:val="004D533F"/>
    <w:rsid w:val="004D6291"/>
    <w:rsid w:val="004D79BB"/>
    <w:rsid w:val="004D7ABD"/>
    <w:rsid w:val="004D7E11"/>
    <w:rsid w:val="004E2745"/>
    <w:rsid w:val="004E3B76"/>
    <w:rsid w:val="004E43AE"/>
    <w:rsid w:val="004E5DC1"/>
    <w:rsid w:val="004E5ED5"/>
    <w:rsid w:val="004E6CED"/>
    <w:rsid w:val="004F1767"/>
    <w:rsid w:val="004F2449"/>
    <w:rsid w:val="004F2B21"/>
    <w:rsid w:val="004F303A"/>
    <w:rsid w:val="004F3586"/>
    <w:rsid w:val="004F4BD9"/>
    <w:rsid w:val="004F5A45"/>
    <w:rsid w:val="004F663D"/>
    <w:rsid w:val="004F7D17"/>
    <w:rsid w:val="004F7F46"/>
    <w:rsid w:val="0050372D"/>
    <w:rsid w:val="00505476"/>
    <w:rsid w:val="005055FF"/>
    <w:rsid w:val="00507E15"/>
    <w:rsid w:val="00510303"/>
    <w:rsid w:val="00510E63"/>
    <w:rsid w:val="00513D5A"/>
    <w:rsid w:val="005175C5"/>
    <w:rsid w:val="005223A4"/>
    <w:rsid w:val="00523395"/>
    <w:rsid w:val="00524390"/>
    <w:rsid w:val="005259F2"/>
    <w:rsid w:val="00527FB5"/>
    <w:rsid w:val="005313DE"/>
    <w:rsid w:val="0053329E"/>
    <w:rsid w:val="005333BB"/>
    <w:rsid w:val="005335B3"/>
    <w:rsid w:val="00533CC4"/>
    <w:rsid w:val="0053715E"/>
    <w:rsid w:val="00537333"/>
    <w:rsid w:val="0053779E"/>
    <w:rsid w:val="0054003B"/>
    <w:rsid w:val="00542B33"/>
    <w:rsid w:val="0054313F"/>
    <w:rsid w:val="00544B36"/>
    <w:rsid w:val="00546D34"/>
    <w:rsid w:val="005471A4"/>
    <w:rsid w:val="005505B3"/>
    <w:rsid w:val="00551EBD"/>
    <w:rsid w:val="00552F9B"/>
    <w:rsid w:val="005533F9"/>
    <w:rsid w:val="005535BB"/>
    <w:rsid w:val="00553826"/>
    <w:rsid w:val="00553872"/>
    <w:rsid w:val="0055456A"/>
    <w:rsid w:val="00554ACE"/>
    <w:rsid w:val="005567E9"/>
    <w:rsid w:val="00561366"/>
    <w:rsid w:val="00561977"/>
    <w:rsid w:val="005623AC"/>
    <w:rsid w:val="00562BE5"/>
    <w:rsid w:val="00562E84"/>
    <w:rsid w:val="00562E95"/>
    <w:rsid w:val="00563B0F"/>
    <w:rsid w:val="00563C73"/>
    <w:rsid w:val="0056529C"/>
    <w:rsid w:val="00565348"/>
    <w:rsid w:val="00570CFC"/>
    <w:rsid w:val="00570D27"/>
    <w:rsid w:val="00571A72"/>
    <w:rsid w:val="00572BC8"/>
    <w:rsid w:val="00573387"/>
    <w:rsid w:val="0057522F"/>
    <w:rsid w:val="00575D3A"/>
    <w:rsid w:val="00575F95"/>
    <w:rsid w:val="005767ED"/>
    <w:rsid w:val="00577648"/>
    <w:rsid w:val="00580DA4"/>
    <w:rsid w:val="00582C0D"/>
    <w:rsid w:val="005835E3"/>
    <w:rsid w:val="005863A9"/>
    <w:rsid w:val="00587EB3"/>
    <w:rsid w:val="00590EC1"/>
    <w:rsid w:val="00591176"/>
    <w:rsid w:val="005922FB"/>
    <w:rsid w:val="0059380E"/>
    <w:rsid w:val="0059396B"/>
    <w:rsid w:val="00594BE0"/>
    <w:rsid w:val="00594DB7"/>
    <w:rsid w:val="00595EC8"/>
    <w:rsid w:val="0059645C"/>
    <w:rsid w:val="00596E08"/>
    <w:rsid w:val="005A30D2"/>
    <w:rsid w:val="005A43AC"/>
    <w:rsid w:val="005A44B2"/>
    <w:rsid w:val="005A4A25"/>
    <w:rsid w:val="005A710E"/>
    <w:rsid w:val="005A770E"/>
    <w:rsid w:val="005A7A43"/>
    <w:rsid w:val="005A7D2A"/>
    <w:rsid w:val="005B1234"/>
    <w:rsid w:val="005B2118"/>
    <w:rsid w:val="005B22F7"/>
    <w:rsid w:val="005B28F9"/>
    <w:rsid w:val="005B4097"/>
    <w:rsid w:val="005B42ED"/>
    <w:rsid w:val="005B547F"/>
    <w:rsid w:val="005B6715"/>
    <w:rsid w:val="005B757A"/>
    <w:rsid w:val="005B757D"/>
    <w:rsid w:val="005B79B5"/>
    <w:rsid w:val="005C03A5"/>
    <w:rsid w:val="005C2ACA"/>
    <w:rsid w:val="005C402E"/>
    <w:rsid w:val="005C52A9"/>
    <w:rsid w:val="005C5F6A"/>
    <w:rsid w:val="005C6CE1"/>
    <w:rsid w:val="005C6DC9"/>
    <w:rsid w:val="005D02EE"/>
    <w:rsid w:val="005D2607"/>
    <w:rsid w:val="005D269F"/>
    <w:rsid w:val="005D4DE3"/>
    <w:rsid w:val="005D5FB4"/>
    <w:rsid w:val="005D6100"/>
    <w:rsid w:val="005D6559"/>
    <w:rsid w:val="005D6ABA"/>
    <w:rsid w:val="005E2638"/>
    <w:rsid w:val="005E3554"/>
    <w:rsid w:val="005E358B"/>
    <w:rsid w:val="005E3ECE"/>
    <w:rsid w:val="005E44B9"/>
    <w:rsid w:val="005E529E"/>
    <w:rsid w:val="005E5432"/>
    <w:rsid w:val="005E5812"/>
    <w:rsid w:val="005F0EA2"/>
    <w:rsid w:val="005F165A"/>
    <w:rsid w:val="005F3ADE"/>
    <w:rsid w:val="005F6089"/>
    <w:rsid w:val="005F72CD"/>
    <w:rsid w:val="00600F85"/>
    <w:rsid w:val="00601DC4"/>
    <w:rsid w:val="00601EF2"/>
    <w:rsid w:val="00602E8B"/>
    <w:rsid w:val="00604E5B"/>
    <w:rsid w:val="00604FE1"/>
    <w:rsid w:val="00605BB8"/>
    <w:rsid w:val="00606CBB"/>
    <w:rsid w:val="00606D77"/>
    <w:rsid w:val="00607C9D"/>
    <w:rsid w:val="006113FA"/>
    <w:rsid w:val="00611C12"/>
    <w:rsid w:val="00612765"/>
    <w:rsid w:val="006133FA"/>
    <w:rsid w:val="0061377F"/>
    <w:rsid w:val="00614B33"/>
    <w:rsid w:val="00614BC7"/>
    <w:rsid w:val="00614E63"/>
    <w:rsid w:val="00616C9D"/>
    <w:rsid w:val="006179DE"/>
    <w:rsid w:val="00621800"/>
    <w:rsid w:val="00622C2B"/>
    <w:rsid w:val="0062643F"/>
    <w:rsid w:val="00626DB6"/>
    <w:rsid w:val="00626ED0"/>
    <w:rsid w:val="0062798C"/>
    <w:rsid w:val="00630C59"/>
    <w:rsid w:val="006348A1"/>
    <w:rsid w:val="00634DD1"/>
    <w:rsid w:val="0063507F"/>
    <w:rsid w:val="00636419"/>
    <w:rsid w:val="0063698F"/>
    <w:rsid w:val="00637D47"/>
    <w:rsid w:val="006401DB"/>
    <w:rsid w:val="006407A2"/>
    <w:rsid w:val="00640BEB"/>
    <w:rsid w:val="00641702"/>
    <w:rsid w:val="00643FEF"/>
    <w:rsid w:val="0064597B"/>
    <w:rsid w:val="00652200"/>
    <w:rsid w:val="00652612"/>
    <w:rsid w:val="00652AA3"/>
    <w:rsid w:val="00653677"/>
    <w:rsid w:val="006539DC"/>
    <w:rsid w:val="006545E5"/>
    <w:rsid w:val="006566DF"/>
    <w:rsid w:val="00656E2C"/>
    <w:rsid w:val="006575DF"/>
    <w:rsid w:val="006578F9"/>
    <w:rsid w:val="00657E20"/>
    <w:rsid w:val="00660865"/>
    <w:rsid w:val="00661220"/>
    <w:rsid w:val="00662D1F"/>
    <w:rsid w:val="0066313C"/>
    <w:rsid w:val="006637D1"/>
    <w:rsid w:val="0066584B"/>
    <w:rsid w:val="00665953"/>
    <w:rsid w:val="006676C2"/>
    <w:rsid w:val="0066781B"/>
    <w:rsid w:val="00671BDC"/>
    <w:rsid w:val="00672677"/>
    <w:rsid w:val="00673DCA"/>
    <w:rsid w:val="00675CEA"/>
    <w:rsid w:val="00676854"/>
    <w:rsid w:val="006768D5"/>
    <w:rsid w:val="00676F3B"/>
    <w:rsid w:val="0068090A"/>
    <w:rsid w:val="00681248"/>
    <w:rsid w:val="0068462F"/>
    <w:rsid w:val="00684BDD"/>
    <w:rsid w:val="00685FEA"/>
    <w:rsid w:val="00686E8B"/>
    <w:rsid w:val="00692B0D"/>
    <w:rsid w:val="006936E7"/>
    <w:rsid w:val="00695274"/>
    <w:rsid w:val="0069548A"/>
    <w:rsid w:val="00697154"/>
    <w:rsid w:val="006A1217"/>
    <w:rsid w:val="006A2389"/>
    <w:rsid w:val="006A28AA"/>
    <w:rsid w:val="006A2A8B"/>
    <w:rsid w:val="006A341E"/>
    <w:rsid w:val="006A358E"/>
    <w:rsid w:val="006A50E1"/>
    <w:rsid w:val="006A6CC1"/>
    <w:rsid w:val="006A6F7E"/>
    <w:rsid w:val="006B051D"/>
    <w:rsid w:val="006B2352"/>
    <w:rsid w:val="006B59BC"/>
    <w:rsid w:val="006B6862"/>
    <w:rsid w:val="006C3C92"/>
    <w:rsid w:val="006C66A0"/>
    <w:rsid w:val="006C6B02"/>
    <w:rsid w:val="006C6DFA"/>
    <w:rsid w:val="006C7C30"/>
    <w:rsid w:val="006D0059"/>
    <w:rsid w:val="006D24AB"/>
    <w:rsid w:val="006D2C4D"/>
    <w:rsid w:val="006D477C"/>
    <w:rsid w:val="006D5AD2"/>
    <w:rsid w:val="006D5C75"/>
    <w:rsid w:val="006D6802"/>
    <w:rsid w:val="006D72A9"/>
    <w:rsid w:val="006E2512"/>
    <w:rsid w:val="006E411A"/>
    <w:rsid w:val="006E4143"/>
    <w:rsid w:val="006E4966"/>
    <w:rsid w:val="006E6248"/>
    <w:rsid w:val="006E6F70"/>
    <w:rsid w:val="006E76A2"/>
    <w:rsid w:val="006F0AB1"/>
    <w:rsid w:val="006F0C0F"/>
    <w:rsid w:val="006F2564"/>
    <w:rsid w:val="006F27A2"/>
    <w:rsid w:val="006F2EE5"/>
    <w:rsid w:val="006F3138"/>
    <w:rsid w:val="006F4530"/>
    <w:rsid w:val="006F4B28"/>
    <w:rsid w:val="006F7F2F"/>
    <w:rsid w:val="0070306A"/>
    <w:rsid w:val="00703B43"/>
    <w:rsid w:val="007052E2"/>
    <w:rsid w:val="007064BB"/>
    <w:rsid w:val="00706A25"/>
    <w:rsid w:val="00711542"/>
    <w:rsid w:val="00713C93"/>
    <w:rsid w:val="007142B1"/>
    <w:rsid w:val="00715305"/>
    <w:rsid w:val="007158DE"/>
    <w:rsid w:val="00715A8D"/>
    <w:rsid w:val="00716C33"/>
    <w:rsid w:val="007173A5"/>
    <w:rsid w:val="00717ED0"/>
    <w:rsid w:val="00717F8B"/>
    <w:rsid w:val="007219DB"/>
    <w:rsid w:val="0072266A"/>
    <w:rsid w:val="00722960"/>
    <w:rsid w:val="0072398D"/>
    <w:rsid w:val="00723E38"/>
    <w:rsid w:val="00724F71"/>
    <w:rsid w:val="00725332"/>
    <w:rsid w:val="00725B7B"/>
    <w:rsid w:val="007272BD"/>
    <w:rsid w:val="00727CE9"/>
    <w:rsid w:val="0073443A"/>
    <w:rsid w:val="0073514B"/>
    <w:rsid w:val="00736890"/>
    <w:rsid w:val="0074008D"/>
    <w:rsid w:val="00742961"/>
    <w:rsid w:val="00743083"/>
    <w:rsid w:val="0074377A"/>
    <w:rsid w:val="00744C56"/>
    <w:rsid w:val="00744E09"/>
    <w:rsid w:val="0074686B"/>
    <w:rsid w:val="007479DA"/>
    <w:rsid w:val="00747E22"/>
    <w:rsid w:val="007513A8"/>
    <w:rsid w:val="0075598B"/>
    <w:rsid w:val="00757486"/>
    <w:rsid w:val="007618B7"/>
    <w:rsid w:val="00762BF0"/>
    <w:rsid w:val="007634F9"/>
    <w:rsid w:val="00763531"/>
    <w:rsid w:val="007639FD"/>
    <w:rsid w:val="00764D89"/>
    <w:rsid w:val="0076621B"/>
    <w:rsid w:val="00767F66"/>
    <w:rsid w:val="0077130B"/>
    <w:rsid w:val="00771F72"/>
    <w:rsid w:val="00772309"/>
    <w:rsid w:val="007727ED"/>
    <w:rsid w:val="00774995"/>
    <w:rsid w:val="007778EA"/>
    <w:rsid w:val="00777B41"/>
    <w:rsid w:val="00780F3F"/>
    <w:rsid w:val="007810B2"/>
    <w:rsid w:val="007813D4"/>
    <w:rsid w:val="007824AE"/>
    <w:rsid w:val="007859FC"/>
    <w:rsid w:val="0078609E"/>
    <w:rsid w:val="00786C84"/>
    <w:rsid w:val="007909CB"/>
    <w:rsid w:val="00792D01"/>
    <w:rsid w:val="00795502"/>
    <w:rsid w:val="00795F41"/>
    <w:rsid w:val="00796661"/>
    <w:rsid w:val="007978BF"/>
    <w:rsid w:val="00797A9A"/>
    <w:rsid w:val="007A0E4C"/>
    <w:rsid w:val="007A3235"/>
    <w:rsid w:val="007A4813"/>
    <w:rsid w:val="007A559C"/>
    <w:rsid w:val="007A713F"/>
    <w:rsid w:val="007B2108"/>
    <w:rsid w:val="007B2DD4"/>
    <w:rsid w:val="007B41D8"/>
    <w:rsid w:val="007B5A46"/>
    <w:rsid w:val="007C0F2C"/>
    <w:rsid w:val="007C43C8"/>
    <w:rsid w:val="007C69DF"/>
    <w:rsid w:val="007C7556"/>
    <w:rsid w:val="007C76BD"/>
    <w:rsid w:val="007D0B70"/>
    <w:rsid w:val="007D0D63"/>
    <w:rsid w:val="007D1BBF"/>
    <w:rsid w:val="007D3640"/>
    <w:rsid w:val="007D739A"/>
    <w:rsid w:val="007E077A"/>
    <w:rsid w:val="007E14B6"/>
    <w:rsid w:val="007E3D8A"/>
    <w:rsid w:val="007E4114"/>
    <w:rsid w:val="007E4467"/>
    <w:rsid w:val="007E48C5"/>
    <w:rsid w:val="007F1E9D"/>
    <w:rsid w:val="007F5CCE"/>
    <w:rsid w:val="007F6FE7"/>
    <w:rsid w:val="00800C47"/>
    <w:rsid w:val="00800FCF"/>
    <w:rsid w:val="00801AED"/>
    <w:rsid w:val="008028FD"/>
    <w:rsid w:val="00802ADD"/>
    <w:rsid w:val="00807604"/>
    <w:rsid w:val="00810E8D"/>
    <w:rsid w:val="00811137"/>
    <w:rsid w:val="0081148F"/>
    <w:rsid w:val="0081249B"/>
    <w:rsid w:val="00814472"/>
    <w:rsid w:val="00814AFC"/>
    <w:rsid w:val="00814CF1"/>
    <w:rsid w:val="00816959"/>
    <w:rsid w:val="00816981"/>
    <w:rsid w:val="00816DE7"/>
    <w:rsid w:val="008172BF"/>
    <w:rsid w:val="00820C71"/>
    <w:rsid w:val="00822FEA"/>
    <w:rsid w:val="00823557"/>
    <w:rsid w:val="008238F2"/>
    <w:rsid w:val="0082555D"/>
    <w:rsid w:val="00825C08"/>
    <w:rsid w:val="0082703A"/>
    <w:rsid w:val="00827B0F"/>
    <w:rsid w:val="00830B39"/>
    <w:rsid w:val="0083121E"/>
    <w:rsid w:val="00835B12"/>
    <w:rsid w:val="00836347"/>
    <w:rsid w:val="00836C98"/>
    <w:rsid w:val="00837C9A"/>
    <w:rsid w:val="00840058"/>
    <w:rsid w:val="00841495"/>
    <w:rsid w:val="00844269"/>
    <w:rsid w:val="00845A7B"/>
    <w:rsid w:val="00847F99"/>
    <w:rsid w:val="00851061"/>
    <w:rsid w:val="0085109E"/>
    <w:rsid w:val="00852087"/>
    <w:rsid w:val="00853FD5"/>
    <w:rsid w:val="0085456D"/>
    <w:rsid w:val="00854EB3"/>
    <w:rsid w:val="0085515A"/>
    <w:rsid w:val="0085525E"/>
    <w:rsid w:val="00857CF1"/>
    <w:rsid w:val="00860192"/>
    <w:rsid w:val="00860DC3"/>
    <w:rsid w:val="0086166A"/>
    <w:rsid w:val="00862CF6"/>
    <w:rsid w:val="008638AF"/>
    <w:rsid w:val="00866867"/>
    <w:rsid w:val="00866A37"/>
    <w:rsid w:val="0087027F"/>
    <w:rsid w:val="00871734"/>
    <w:rsid w:val="00872321"/>
    <w:rsid w:val="00872A07"/>
    <w:rsid w:val="00873FF9"/>
    <w:rsid w:val="00874AEB"/>
    <w:rsid w:val="00875FAD"/>
    <w:rsid w:val="0087628A"/>
    <w:rsid w:val="00876E56"/>
    <w:rsid w:val="00881BC7"/>
    <w:rsid w:val="008821D8"/>
    <w:rsid w:val="00883374"/>
    <w:rsid w:val="00884EEC"/>
    <w:rsid w:val="00887D82"/>
    <w:rsid w:val="00890FB6"/>
    <w:rsid w:val="00891CAA"/>
    <w:rsid w:val="00891F1A"/>
    <w:rsid w:val="008928A0"/>
    <w:rsid w:val="00894113"/>
    <w:rsid w:val="00894584"/>
    <w:rsid w:val="008954FD"/>
    <w:rsid w:val="008959E2"/>
    <w:rsid w:val="00896A1E"/>
    <w:rsid w:val="008A3C3B"/>
    <w:rsid w:val="008A4CD7"/>
    <w:rsid w:val="008A5132"/>
    <w:rsid w:val="008A6187"/>
    <w:rsid w:val="008A7ED2"/>
    <w:rsid w:val="008B1C6C"/>
    <w:rsid w:val="008B23DE"/>
    <w:rsid w:val="008B25B3"/>
    <w:rsid w:val="008B2E84"/>
    <w:rsid w:val="008B45B1"/>
    <w:rsid w:val="008B4AD0"/>
    <w:rsid w:val="008B4EC9"/>
    <w:rsid w:val="008C0C6F"/>
    <w:rsid w:val="008C3365"/>
    <w:rsid w:val="008C34C0"/>
    <w:rsid w:val="008C3AF3"/>
    <w:rsid w:val="008C45EA"/>
    <w:rsid w:val="008C4F7B"/>
    <w:rsid w:val="008C6907"/>
    <w:rsid w:val="008D15B9"/>
    <w:rsid w:val="008D5000"/>
    <w:rsid w:val="008D59D7"/>
    <w:rsid w:val="008D6529"/>
    <w:rsid w:val="008D793B"/>
    <w:rsid w:val="008D7A64"/>
    <w:rsid w:val="008E11C3"/>
    <w:rsid w:val="008E1A5E"/>
    <w:rsid w:val="008E1CF8"/>
    <w:rsid w:val="008E3920"/>
    <w:rsid w:val="008E46E4"/>
    <w:rsid w:val="008E4AE6"/>
    <w:rsid w:val="008E596F"/>
    <w:rsid w:val="008E5D96"/>
    <w:rsid w:val="008E7046"/>
    <w:rsid w:val="008E7784"/>
    <w:rsid w:val="008F0CDF"/>
    <w:rsid w:val="008F10BD"/>
    <w:rsid w:val="008F180A"/>
    <w:rsid w:val="008F1BBE"/>
    <w:rsid w:val="008F2683"/>
    <w:rsid w:val="008F2EA0"/>
    <w:rsid w:val="008F34A7"/>
    <w:rsid w:val="008F387D"/>
    <w:rsid w:val="008F3975"/>
    <w:rsid w:val="008F412A"/>
    <w:rsid w:val="008F48A8"/>
    <w:rsid w:val="008F5D24"/>
    <w:rsid w:val="008F6592"/>
    <w:rsid w:val="00900211"/>
    <w:rsid w:val="00900FE1"/>
    <w:rsid w:val="00901549"/>
    <w:rsid w:val="00902B03"/>
    <w:rsid w:val="00903610"/>
    <w:rsid w:val="00904785"/>
    <w:rsid w:val="009056F0"/>
    <w:rsid w:val="0090581C"/>
    <w:rsid w:val="009058BC"/>
    <w:rsid w:val="00907468"/>
    <w:rsid w:val="00910B8B"/>
    <w:rsid w:val="00911615"/>
    <w:rsid w:val="00913A37"/>
    <w:rsid w:val="009141EF"/>
    <w:rsid w:val="00914342"/>
    <w:rsid w:val="009145FE"/>
    <w:rsid w:val="00914B1D"/>
    <w:rsid w:val="009150D2"/>
    <w:rsid w:val="0091597F"/>
    <w:rsid w:val="00917459"/>
    <w:rsid w:val="009201FD"/>
    <w:rsid w:val="009206FB"/>
    <w:rsid w:val="00926E19"/>
    <w:rsid w:val="0092773B"/>
    <w:rsid w:val="00930464"/>
    <w:rsid w:val="009311DA"/>
    <w:rsid w:val="00931AA2"/>
    <w:rsid w:val="00932538"/>
    <w:rsid w:val="009333A7"/>
    <w:rsid w:val="00933D89"/>
    <w:rsid w:val="009351C0"/>
    <w:rsid w:val="0093668E"/>
    <w:rsid w:val="009369AF"/>
    <w:rsid w:val="0094044D"/>
    <w:rsid w:val="00942DA7"/>
    <w:rsid w:val="0094396E"/>
    <w:rsid w:val="00943C18"/>
    <w:rsid w:val="00943D62"/>
    <w:rsid w:val="009452CA"/>
    <w:rsid w:val="0094660A"/>
    <w:rsid w:val="00946CF1"/>
    <w:rsid w:val="0095065E"/>
    <w:rsid w:val="00950F2F"/>
    <w:rsid w:val="009515B7"/>
    <w:rsid w:val="00953D97"/>
    <w:rsid w:val="00954571"/>
    <w:rsid w:val="00955DB3"/>
    <w:rsid w:val="009561A3"/>
    <w:rsid w:val="009561B4"/>
    <w:rsid w:val="00956211"/>
    <w:rsid w:val="0095739E"/>
    <w:rsid w:val="00957D71"/>
    <w:rsid w:val="00957F4F"/>
    <w:rsid w:val="00962956"/>
    <w:rsid w:val="00962AFF"/>
    <w:rsid w:val="00964425"/>
    <w:rsid w:val="00964AC7"/>
    <w:rsid w:val="0096593B"/>
    <w:rsid w:val="00965FBD"/>
    <w:rsid w:val="00966065"/>
    <w:rsid w:val="00971D55"/>
    <w:rsid w:val="00972E53"/>
    <w:rsid w:val="00974590"/>
    <w:rsid w:val="00974C34"/>
    <w:rsid w:val="00975213"/>
    <w:rsid w:val="009759BE"/>
    <w:rsid w:val="0097666A"/>
    <w:rsid w:val="00980098"/>
    <w:rsid w:val="00980576"/>
    <w:rsid w:val="0098130A"/>
    <w:rsid w:val="00981CAF"/>
    <w:rsid w:val="00983792"/>
    <w:rsid w:val="00984346"/>
    <w:rsid w:val="0098563D"/>
    <w:rsid w:val="00986778"/>
    <w:rsid w:val="00986BE4"/>
    <w:rsid w:val="00987528"/>
    <w:rsid w:val="0099046C"/>
    <w:rsid w:val="00992F15"/>
    <w:rsid w:val="00993EA0"/>
    <w:rsid w:val="0099420E"/>
    <w:rsid w:val="00995B7A"/>
    <w:rsid w:val="0099654D"/>
    <w:rsid w:val="009A250F"/>
    <w:rsid w:val="009A2CEA"/>
    <w:rsid w:val="009A3723"/>
    <w:rsid w:val="009A3777"/>
    <w:rsid w:val="009A4083"/>
    <w:rsid w:val="009A63F7"/>
    <w:rsid w:val="009A6E5F"/>
    <w:rsid w:val="009A72DF"/>
    <w:rsid w:val="009A746B"/>
    <w:rsid w:val="009A7F6F"/>
    <w:rsid w:val="009B1592"/>
    <w:rsid w:val="009B3A92"/>
    <w:rsid w:val="009B48AB"/>
    <w:rsid w:val="009B4EBA"/>
    <w:rsid w:val="009C042F"/>
    <w:rsid w:val="009C076C"/>
    <w:rsid w:val="009C14BE"/>
    <w:rsid w:val="009C191A"/>
    <w:rsid w:val="009C207F"/>
    <w:rsid w:val="009C250E"/>
    <w:rsid w:val="009C6857"/>
    <w:rsid w:val="009C69FA"/>
    <w:rsid w:val="009C7271"/>
    <w:rsid w:val="009D2C87"/>
    <w:rsid w:val="009D31C9"/>
    <w:rsid w:val="009D4727"/>
    <w:rsid w:val="009D6221"/>
    <w:rsid w:val="009D63C8"/>
    <w:rsid w:val="009D6D44"/>
    <w:rsid w:val="009D7290"/>
    <w:rsid w:val="009D7335"/>
    <w:rsid w:val="009D7EE5"/>
    <w:rsid w:val="009E0E92"/>
    <w:rsid w:val="009E1E61"/>
    <w:rsid w:val="009E2ED1"/>
    <w:rsid w:val="009E6B47"/>
    <w:rsid w:val="009E7B0A"/>
    <w:rsid w:val="009F0336"/>
    <w:rsid w:val="009F2323"/>
    <w:rsid w:val="009F26EA"/>
    <w:rsid w:val="009F29F4"/>
    <w:rsid w:val="009F493E"/>
    <w:rsid w:val="009F53B3"/>
    <w:rsid w:val="009F7402"/>
    <w:rsid w:val="00A006FB"/>
    <w:rsid w:val="00A01D97"/>
    <w:rsid w:val="00A031F4"/>
    <w:rsid w:val="00A046B6"/>
    <w:rsid w:val="00A057FD"/>
    <w:rsid w:val="00A05967"/>
    <w:rsid w:val="00A05C0A"/>
    <w:rsid w:val="00A05F84"/>
    <w:rsid w:val="00A0629F"/>
    <w:rsid w:val="00A071C6"/>
    <w:rsid w:val="00A13E6A"/>
    <w:rsid w:val="00A15A52"/>
    <w:rsid w:val="00A15A6A"/>
    <w:rsid w:val="00A175D5"/>
    <w:rsid w:val="00A200A2"/>
    <w:rsid w:val="00A20D2A"/>
    <w:rsid w:val="00A23C69"/>
    <w:rsid w:val="00A27086"/>
    <w:rsid w:val="00A312F4"/>
    <w:rsid w:val="00A31E54"/>
    <w:rsid w:val="00A34510"/>
    <w:rsid w:val="00A34813"/>
    <w:rsid w:val="00A34A85"/>
    <w:rsid w:val="00A354B5"/>
    <w:rsid w:val="00A3588F"/>
    <w:rsid w:val="00A35E03"/>
    <w:rsid w:val="00A4047A"/>
    <w:rsid w:val="00A408EC"/>
    <w:rsid w:val="00A40BEF"/>
    <w:rsid w:val="00A40FC4"/>
    <w:rsid w:val="00A42647"/>
    <w:rsid w:val="00A42DDA"/>
    <w:rsid w:val="00A438D4"/>
    <w:rsid w:val="00A46320"/>
    <w:rsid w:val="00A47443"/>
    <w:rsid w:val="00A51FE0"/>
    <w:rsid w:val="00A52783"/>
    <w:rsid w:val="00A53400"/>
    <w:rsid w:val="00A536C1"/>
    <w:rsid w:val="00A5552F"/>
    <w:rsid w:val="00A55734"/>
    <w:rsid w:val="00A557D0"/>
    <w:rsid w:val="00A625D6"/>
    <w:rsid w:val="00A63632"/>
    <w:rsid w:val="00A637CA"/>
    <w:rsid w:val="00A6409F"/>
    <w:rsid w:val="00A64E0A"/>
    <w:rsid w:val="00A6569F"/>
    <w:rsid w:val="00A65D2F"/>
    <w:rsid w:val="00A7164E"/>
    <w:rsid w:val="00A72E09"/>
    <w:rsid w:val="00A735A7"/>
    <w:rsid w:val="00A7396C"/>
    <w:rsid w:val="00A744FA"/>
    <w:rsid w:val="00A74F10"/>
    <w:rsid w:val="00A754BC"/>
    <w:rsid w:val="00A76FC1"/>
    <w:rsid w:val="00A773D0"/>
    <w:rsid w:val="00A77735"/>
    <w:rsid w:val="00A816E2"/>
    <w:rsid w:val="00A85FB0"/>
    <w:rsid w:val="00A861AE"/>
    <w:rsid w:val="00A87776"/>
    <w:rsid w:val="00A919A0"/>
    <w:rsid w:val="00A94ABB"/>
    <w:rsid w:val="00A94E89"/>
    <w:rsid w:val="00A94F07"/>
    <w:rsid w:val="00AA2D21"/>
    <w:rsid w:val="00AA5F32"/>
    <w:rsid w:val="00AA603B"/>
    <w:rsid w:val="00AA621D"/>
    <w:rsid w:val="00AA63A9"/>
    <w:rsid w:val="00AA6F09"/>
    <w:rsid w:val="00AB1D8F"/>
    <w:rsid w:val="00AB20B8"/>
    <w:rsid w:val="00AB2896"/>
    <w:rsid w:val="00AB29AD"/>
    <w:rsid w:val="00AB328C"/>
    <w:rsid w:val="00AB3A08"/>
    <w:rsid w:val="00AB43AD"/>
    <w:rsid w:val="00AB5CC7"/>
    <w:rsid w:val="00AB6309"/>
    <w:rsid w:val="00AC015B"/>
    <w:rsid w:val="00AC2A3F"/>
    <w:rsid w:val="00AC2B07"/>
    <w:rsid w:val="00AC2CF5"/>
    <w:rsid w:val="00AC400D"/>
    <w:rsid w:val="00AC4082"/>
    <w:rsid w:val="00AC587A"/>
    <w:rsid w:val="00AC655B"/>
    <w:rsid w:val="00AD05A5"/>
    <w:rsid w:val="00AD124F"/>
    <w:rsid w:val="00AD2502"/>
    <w:rsid w:val="00AD3578"/>
    <w:rsid w:val="00AD44DC"/>
    <w:rsid w:val="00AD670A"/>
    <w:rsid w:val="00AD7248"/>
    <w:rsid w:val="00AD759E"/>
    <w:rsid w:val="00AD7613"/>
    <w:rsid w:val="00AE08AE"/>
    <w:rsid w:val="00AE1749"/>
    <w:rsid w:val="00AE1BCC"/>
    <w:rsid w:val="00AE1CF0"/>
    <w:rsid w:val="00AE2D46"/>
    <w:rsid w:val="00AE3AC2"/>
    <w:rsid w:val="00AE4EDE"/>
    <w:rsid w:val="00AE4EE7"/>
    <w:rsid w:val="00AE59F5"/>
    <w:rsid w:val="00AE760C"/>
    <w:rsid w:val="00AF03FC"/>
    <w:rsid w:val="00AF0FC4"/>
    <w:rsid w:val="00AF1025"/>
    <w:rsid w:val="00AF190C"/>
    <w:rsid w:val="00AF1B94"/>
    <w:rsid w:val="00AF207B"/>
    <w:rsid w:val="00AF3503"/>
    <w:rsid w:val="00AF4632"/>
    <w:rsid w:val="00AF4AB2"/>
    <w:rsid w:val="00AF5ABA"/>
    <w:rsid w:val="00AF6134"/>
    <w:rsid w:val="00AF663F"/>
    <w:rsid w:val="00AF70CF"/>
    <w:rsid w:val="00B00770"/>
    <w:rsid w:val="00B01337"/>
    <w:rsid w:val="00B017B3"/>
    <w:rsid w:val="00B02B7B"/>
    <w:rsid w:val="00B02E54"/>
    <w:rsid w:val="00B05D31"/>
    <w:rsid w:val="00B06BE7"/>
    <w:rsid w:val="00B1026D"/>
    <w:rsid w:val="00B105D6"/>
    <w:rsid w:val="00B12280"/>
    <w:rsid w:val="00B13863"/>
    <w:rsid w:val="00B148D8"/>
    <w:rsid w:val="00B14B47"/>
    <w:rsid w:val="00B1504A"/>
    <w:rsid w:val="00B1730E"/>
    <w:rsid w:val="00B17E10"/>
    <w:rsid w:val="00B20C06"/>
    <w:rsid w:val="00B20EAB"/>
    <w:rsid w:val="00B211D8"/>
    <w:rsid w:val="00B21969"/>
    <w:rsid w:val="00B21AE3"/>
    <w:rsid w:val="00B271EC"/>
    <w:rsid w:val="00B27240"/>
    <w:rsid w:val="00B31723"/>
    <w:rsid w:val="00B3220F"/>
    <w:rsid w:val="00B32956"/>
    <w:rsid w:val="00B32C01"/>
    <w:rsid w:val="00B33330"/>
    <w:rsid w:val="00B337F1"/>
    <w:rsid w:val="00B35C9D"/>
    <w:rsid w:val="00B401FF"/>
    <w:rsid w:val="00B4298A"/>
    <w:rsid w:val="00B46E53"/>
    <w:rsid w:val="00B50E6E"/>
    <w:rsid w:val="00B5289A"/>
    <w:rsid w:val="00B53956"/>
    <w:rsid w:val="00B53D69"/>
    <w:rsid w:val="00B54BBA"/>
    <w:rsid w:val="00B5603C"/>
    <w:rsid w:val="00B56E30"/>
    <w:rsid w:val="00B579BA"/>
    <w:rsid w:val="00B60013"/>
    <w:rsid w:val="00B605A3"/>
    <w:rsid w:val="00B61000"/>
    <w:rsid w:val="00B65784"/>
    <w:rsid w:val="00B70798"/>
    <w:rsid w:val="00B71B62"/>
    <w:rsid w:val="00B72EF8"/>
    <w:rsid w:val="00B73E33"/>
    <w:rsid w:val="00B73E3D"/>
    <w:rsid w:val="00B74FDB"/>
    <w:rsid w:val="00B752D0"/>
    <w:rsid w:val="00B75A0A"/>
    <w:rsid w:val="00B761E3"/>
    <w:rsid w:val="00B77ABA"/>
    <w:rsid w:val="00B81FBD"/>
    <w:rsid w:val="00B83CFA"/>
    <w:rsid w:val="00B83E1C"/>
    <w:rsid w:val="00B8464B"/>
    <w:rsid w:val="00B85410"/>
    <w:rsid w:val="00B862B1"/>
    <w:rsid w:val="00B91576"/>
    <w:rsid w:val="00B929CC"/>
    <w:rsid w:val="00B94C77"/>
    <w:rsid w:val="00B954D1"/>
    <w:rsid w:val="00B96DA4"/>
    <w:rsid w:val="00B97075"/>
    <w:rsid w:val="00BA009E"/>
    <w:rsid w:val="00BA0EF1"/>
    <w:rsid w:val="00BA0F22"/>
    <w:rsid w:val="00BA1900"/>
    <w:rsid w:val="00BA4B2D"/>
    <w:rsid w:val="00BA5305"/>
    <w:rsid w:val="00BB2FB3"/>
    <w:rsid w:val="00BB4030"/>
    <w:rsid w:val="00BB52AD"/>
    <w:rsid w:val="00BB6001"/>
    <w:rsid w:val="00BB76AC"/>
    <w:rsid w:val="00BB7AA7"/>
    <w:rsid w:val="00BB7CD5"/>
    <w:rsid w:val="00BC1CCB"/>
    <w:rsid w:val="00BC2081"/>
    <w:rsid w:val="00BC2CFF"/>
    <w:rsid w:val="00BC45A9"/>
    <w:rsid w:val="00BC48F8"/>
    <w:rsid w:val="00BC528C"/>
    <w:rsid w:val="00BC5ADF"/>
    <w:rsid w:val="00BC5D95"/>
    <w:rsid w:val="00BC62DE"/>
    <w:rsid w:val="00BC6E9A"/>
    <w:rsid w:val="00BD14EA"/>
    <w:rsid w:val="00BD2D0A"/>
    <w:rsid w:val="00BD47F1"/>
    <w:rsid w:val="00BD4FED"/>
    <w:rsid w:val="00BD5BBA"/>
    <w:rsid w:val="00BD638A"/>
    <w:rsid w:val="00BD7119"/>
    <w:rsid w:val="00BD736F"/>
    <w:rsid w:val="00BE034D"/>
    <w:rsid w:val="00BE0E4C"/>
    <w:rsid w:val="00BE14FC"/>
    <w:rsid w:val="00BE1641"/>
    <w:rsid w:val="00BE1724"/>
    <w:rsid w:val="00BE273A"/>
    <w:rsid w:val="00BE357E"/>
    <w:rsid w:val="00BE4A92"/>
    <w:rsid w:val="00BE5934"/>
    <w:rsid w:val="00BE5F05"/>
    <w:rsid w:val="00BF07E6"/>
    <w:rsid w:val="00BF23BB"/>
    <w:rsid w:val="00BF338D"/>
    <w:rsid w:val="00BF3D0E"/>
    <w:rsid w:val="00BF3F40"/>
    <w:rsid w:val="00BF4B44"/>
    <w:rsid w:val="00BF6DFD"/>
    <w:rsid w:val="00BF6E88"/>
    <w:rsid w:val="00BF7498"/>
    <w:rsid w:val="00C0016D"/>
    <w:rsid w:val="00C011D5"/>
    <w:rsid w:val="00C01C8F"/>
    <w:rsid w:val="00C01E73"/>
    <w:rsid w:val="00C022D9"/>
    <w:rsid w:val="00C022FC"/>
    <w:rsid w:val="00C02A6A"/>
    <w:rsid w:val="00C03E28"/>
    <w:rsid w:val="00C041CE"/>
    <w:rsid w:val="00C05D40"/>
    <w:rsid w:val="00C077A4"/>
    <w:rsid w:val="00C07C1E"/>
    <w:rsid w:val="00C10DC6"/>
    <w:rsid w:val="00C10FCA"/>
    <w:rsid w:val="00C12416"/>
    <w:rsid w:val="00C14573"/>
    <w:rsid w:val="00C153E7"/>
    <w:rsid w:val="00C156E6"/>
    <w:rsid w:val="00C16E7B"/>
    <w:rsid w:val="00C17871"/>
    <w:rsid w:val="00C179E9"/>
    <w:rsid w:val="00C20C13"/>
    <w:rsid w:val="00C22E32"/>
    <w:rsid w:val="00C32548"/>
    <w:rsid w:val="00C338EE"/>
    <w:rsid w:val="00C33EE7"/>
    <w:rsid w:val="00C37326"/>
    <w:rsid w:val="00C42B2D"/>
    <w:rsid w:val="00C43BAD"/>
    <w:rsid w:val="00C4456E"/>
    <w:rsid w:val="00C4583C"/>
    <w:rsid w:val="00C459A0"/>
    <w:rsid w:val="00C462AC"/>
    <w:rsid w:val="00C473F9"/>
    <w:rsid w:val="00C47E34"/>
    <w:rsid w:val="00C514CB"/>
    <w:rsid w:val="00C51EBD"/>
    <w:rsid w:val="00C542C6"/>
    <w:rsid w:val="00C54560"/>
    <w:rsid w:val="00C546F0"/>
    <w:rsid w:val="00C5565A"/>
    <w:rsid w:val="00C564EB"/>
    <w:rsid w:val="00C56561"/>
    <w:rsid w:val="00C607A7"/>
    <w:rsid w:val="00C63512"/>
    <w:rsid w:val="00C637A0"/>
    <w:rsid w:val="00C65BBE"/>
    <w:rsid w:val="00C66A6F"/>
    <w:rsid w:val="00C67392"/>
    <w:rsid w:val="00C70772"/>
    <w:rsid w:val="00C70BC0"/>
    <w:rsid w:val="00C70C9E"/>
    <w:rsid w:val="00C71362"/>
    <w:rsid w:val="00C71DA8"/>
    <w:rsid w:val="00C723D1"/>
    <w:rsid w:val="00C74477"/>
    <w:rsid w:val="00C74696"/>
    <w:rsid w:val="00C75A6A"/>
    <w:rsid w:val="00C7631B"/>
    <w:rsid w:val="00C775C6"/>
    <w:rsid w:val="00C80B1D"/>
    <w:rsid w:val="00C82BC1"/>
    <w:rsid w:val="00C83645"/>
    <w:rsid w:val="00C84A7E"/>
    <w:rsid w:val="00C872BB"/>
    <w:rsid w:val="00C90F5B"/>
    <w:rsid w:val="00C91263"/>
    <w:rsid w:val="00C91367"/>
    <w:rsid w:val="00C91926"/>
    <w:rsid w:val="00C91FA1"/>
    <w:rsid w:val="00C928F4"/>
    <w:rsid w:val="00C943F9"/>
    <w:rsid w:val="00C9554F"/>
    <w:rsid w:val="00C95F03"/>
    <w:rsid w:val="00C9682F"/>
    <w:rsid w:val="00CA4FD5"/>
    <w:rsid w:val="00CA6CAA"/>
    <w:rsid w:val="00CA6E8A"/>
    <w:rsid w:val="00CB038C"/>
    <w:rsid w:val="00CB0D87"/>
    <w:rsid w:val="00CB1617"/>
    <w:rsid w:val="00CB1694"/>
    <w:rsid w:val="00CB444E"/>
    <w:rsid w:val="00CB5A7C"/>
    <w:rsid w:val="00CB7D12"/>
    <w:rsid w:val="00CC0ABF"/>
    <w:rsid w:val="00CC14A0"/>
    <w:rsid w:val="00CC1AF2"/>
    <w:rsid w:val="00CC1BEF"/>
    <w:rsid w:val="00CC2FBE"/>
    <w:rsid w:val="00CC6469"/>
    <w:rsid w:val="00CD08AD"/>
    <w:rsid w:val="00CD108F"/>
    <w:rsid w:val="00CD1883"/>
    <w:rsid w:val="00CD1D32"/>
    <w:rsid w:val="00CD1E77"/>
    <w:rsid w:val="00CD2107"/>
    <w:rsid w:val="00CD2B68"/>
    <w:rsid w:val="00CD2BDA"/>
    <w:rsid w:val="00CD594C"/>
    <w:rsid w:val="00CD60F6"/>
    <w:rsid w:val="00CE0630"/>
    <w:rsid w:val="00CE1D5E"/>
    <w:rsid w:val="00CE1DEC"/>
    <w:rsid w:val="00CE2451"/>
    <w:rsid w:val="00CE2EDD"/>
    <w:rsid w:val="00CE3C72"/>
    <w:rsid w:val="00CE3FA0"/>
    <w:rsid w:val="00CE4E10"/>
    <w:rsid w:val="00CE4F99"/>
    <w:rsid w:val="00CE59C7"/>
    <w:rsid w:val="00CE64FC"/>
    <w:rsid w:val="00CE6AAD"/>
    <w:rsid w:val="00CE720D"/>
    <w:rsid w:val="00CF0519"/>
    <w:rsid w:val="00CF19D2"/>
    <w:rsid w:val="00CF1CDF"/>
    <w:rsid w:val="00CF2FB9"/>
    <w:rsid w:val="00CF580D"/>
    <w:rsid w:val="00CF65D1"/>
    <w:rsid w:val="00CF6D83"/>
    <w:rsid w:val="00CF7363"/>
    <w:rsid w:val="00D00933"/>
    <w:rsid w:val="00D00E67"/>
    <w:rsid w:val="00D01371"/>
    <w:rsid w:val="00D0146C"/>
    <w:rsid w:val="00D01AB2"/>
    <w:rsid w:val="00D02E93"/>
    <w:rsid w:val="00D04918"/>
    <w:rsid w:val="00D0597D"/>
    <w:rsid w:val="00D06FC0"/>
    <w:rsid w:val="00D07D55"/>
    <w:rsid w:val="00D1055B"/>
    <w:rsid w:val="00D10D5A"/>
    <w:rsid w:val="00D11EAB"/>
    <w:rsid w:val="00D12E4E"/>
    <w:rsid w:val="00D14697"/>
    <w:rsid w:val="00D14739"/>
    <w:rsid w:val="00D14BC5"/>
    <w:rsid w:val="00D157D4"/>
    <w:rsid w:val="00D15BBE"/>
    <w:rsid w:val="00D16E57"/>
    <w:rsid w:val="00D17ED4"/>
    <w:rsid w:val="00D20D77"/>
    <w:rsid w:val="00D231D8"/>
    <w:rsid w:val="00D25DAB"/>
    <w:rsid w:val="00D26215"/>
    <w:rsid w:val="00D27500"/>
    <w:rsid w:val="00D2795E"/>
    <w:rsid w:val="00D27B16"/>
    <w:rsid w:val="00D3068A"/>
    <w:rsid w:val="00D33AB0"/>
    <w:rsid w:val="00D36BBD"/>
    <w:rsid w:val="00D37293"/>
    <w:rsid w:val="00D37650"/>
    <w:rsid w:val="00D42FD9"/>
    <w:rsid w:val="00D438E5"/>
    <w:rsid w:val="00D442D5"/>
    <w:rsid w:val="00D45365"/>
    <w:rsid w:val="00D4570E"/>
    <w:rsid w:val="00D467EA"/>
    <w:rsid w:val="00D46BBA"/>
    <w:rsid w:val="00D5084C"/>
    <w:rsid w:val="00D5094E"/>
    <w:rsid w:val="00D5111C"/>
    <w:rsid w:val="00D534AC"/>
    <w:rsid w:val="00D53522"/>
    <w:rsid w:val="00D606D2"/>
    <w:rsid w:val="00D6094F"/>
    <w:rsid w:val="00D60E3C"/>
    <w:rsid w:val="00D6151A"/>
    <w:rsid w:val="00D61D5E"/>
    <w:rsid w:val="00D626EE"/>
    <w:rsid w:val="00D628D3"/>
    <w:rsid w:val="00D64919"/>
    <w:rsid w:val="00D662F5"/>
    <w:rsid w:val="00D66C55"/>
    <w:rsid w:val="00D70814"/>
    <w:rsid w:val="00D70EF7"/>
    <w:rsid w:val="00D714A9"/>
    <w:rsid w:val="00D71696"/>
    <w:rsid w:val="00D72156"/>
    <w:rsid w:val="00D722BE"/>
    <w:rsid w:val="00D72895"/>
    <w:rsid w:val="00D76306"/>
    <w:rsid w:val="00D76413"/>
    <w:rsid w:val="00D80D02"/>
    <w:rsid w:val="00D80EFE"/>
    <w:rsid w:val="00D8239B"/>
    <w:rsid w:val="00D84BB6"/>
    <w:rsid w:val="00D8551E"/>
    <w:rsid w:val="00D8563E"/>
    <w:rsid w:val="00D86176"/>
    <w:rsid w:val="00D90CD0"/>
    <w:rsid w:val="00D90EBA"/>
    <w:rsid w:val="00D910DB"/>
    <w:rsid w:val="00D9171E"/>
    <w:rsid w:val="00D918C4"/>
    <w:rsid w:val="00D936B1"/>
    <w:rsid w:val="00D94A9D"/>
    <w:rsid w:val="00D95178"/>
    <w:rsid w:val="00D9560A"/>
    <w:rsid w:val="00D95AF9"/>
    <w:rsid w:val="00D96519"/>
    <w:rsid w:val="00D969E7"/>
    <w:rsid w:val="00D972D8"/>
    <w:rsid w:val="00D97595"/>
    <w:rsid w:val="00DA0A64"/>
    <w:rsid w:val="00DA392C"/>
    <w:rsid w:val="00DA3C64"/>
    <w:rsid w:val="00DA41B8"/>
    <w:rsid w:val="00DA7AB1"/>
    <w:rsid w:val="00DB12E8"/>
    <w:rsid w:val="00DB1B60"/>
    <w:rsid w:val="00DB277E"/>
    <w:rsid w:val="00DB296A"/>
    <w:rsid w:val="00DB5405"/>
    <w:rsid w:val="00DB6DBC"/>
    <w:rsid w:val="00DB7524"/>
    <w:rsid w:val="00DC2BF8"/>
    <w:rsid w:val="00DC3993"/>
    <w:rsid w:val="00DC4978"/>
    <w:rsid w:val="00DC5FE0"/>
    <w:rsid w:val="00DC61C9"/>
    <w:rsid w:val="00DD0973"/>
    <w:rsid w:val="00DD1660"/>
    <w:rsid w:val="00DD4B7E"/>
    <w:rsid w:val="00DD6BB0"/>
    <w:rsid w:val="00DE1607"/>
    <w:rsid w:val="00DE2D11"/>
    <w:rsid w:val="00DE69E8"/>
    <w:rsid w:val="00DE6EF2"/>
    <w:rsid w:val="00DF22C1"/>
    <w:rsid w:val="00DF58FF"/>
    <w:rsid w:val="00DF720F"/>
    <w:rsid w:val="00E004F6"/>
    <w:rsid w:val="00E00595"/>
    <w:rsid w:val="00E00715"/>
    <w:rsid w:val="00E01787"/>
    <w:rsid w:val="00E059F2"/>
    <w:rsid w:val="00E05F72"/>
    <w:rsid w:val="00E07261"/>
    <w:rsid w:val="00E10A02"/>
    <w:rsid w:val="00E10A5E"/>
    <w:rsid w:val="00E1113A"/>
    <w:rsid w:val="00E111FF"/>
    <w:rsid w:val="00E11A7B"/>
    <w:rsid w:val="00E11DBF"/>
    <w:rsid w:val="00E120A1"/>
    <w:rsid w:val="00E13DB7"/>
    <w:rsid w:val="00E144A8"/>
    <w:rsid w:val="00E148B9"/>
    <w:rsid w:val="00E17B24"/>
    <w:rsid w:val="00E21CBF"/>
    <w:rsid w:val="00E21D91"/>
    <w:rsid w:val="00E21EDC"/>
    <w:rsid w:val="00E2242E"/>
    <w:rsid w:val="00E22BF6"/>
    <w:rsid w:val="00E2480E"/>
    <w:rsid w:val="00E25F7D"/>
    <w:rsid w:val="00E32DE4"/>
    <w:rsid w:val="00E33136"/>
    <w:rsid w:val="00E354BB"/>
    <w:rsid w:val="00E35B9B"/>
    <w:rsid w:val="00E36B92"/>
    <w:rsid w:val="00E376B6"/>
    <w:rsid w:val="00E40ECF"/>
    <w:rsid w:val="00E41CD0"/>
    <w:rsid w:val="00E426F7"/>
    <w:rsid w:val="00E44079"/>
    <w:rsid w:val="00E440E6"/>
    <w:rsid w:val="00E45032"/>
    <w:rsid w:val="00E45536"/>
    <w:rsid w:val="00E456AE"/>
    <w:rsid w:val="00E479C8"/>
    <w:rsid w:val="00E52AA7"/>
    <w:rsid w:val="00E532CE"/>
    <w:rsid w:val="00E5516B"/>
    <w:rsid w:val="00E563DB"/>
    <w:rsid w:val="00E607AB"/>
    <w:rsid w:val="00E60D20"/>
    <w:rsid w:val="00E60E9F"/>
    <w:rsid w:val="00E626B2"/>
    <w:rsid w:val="00E63D7B"/>
    <w:rsid w:val="00E65652"/>
    <w:rsid w:val="00E661C9"/>
    <w:rsid w:val="00E667A5"/>
    <w:rsid w:val="00E6758A"/>
    <w:rsid w:val="00E706BC"/>
    <w:rsid w:val="00E71814"/>
    <w:rsid w:val="00E71EB0"/>
    <w:rsid w:val="00E7404B"/>
    <w:rsid w:val="00E74147"/>
    <w:rsid w:val="00E74B4C"/>
    <w:rsid w:val="00E80DFA"/>
    <w:rsid w:val="00E81210"/>
    <w:rsid w:val="00E8230F"/>
    <w:rsid w:val="00E83E49"/>
    <w:rsid w:val="00E87003"/>
    <w:rsid w:val="00E875CD"/>
    <w:rsid w:val="00E903B4"/>
    <w:rsid w:val="00E91E29"/>
    <w:rsid w:val="00E93687"/>
    <w:rsid w:val="00E948E3"/>
    <w:rsid w:val="00E96580"/>
    <w:rsid w:val="00E96828"/>
    <w:rsid w:val="00E96B8D"/>
    <w:rsid w:val="00EA086E"/>
    <w:rsid w:val="00EA1E18"/>
    <w:rsid w:val="00EA289F"/>
    <w:rsid w:val="00EA3380"/>
    <w:rsid w:val="00EA3C3B"/>
    <w:rsid w:val="00EA4064"/>
    <w:rsid w:val="00EA65DF"/>
    <w:rsid w:val="00EA7776"/>
    <w:rsid w:val="00EA7BC8"/>
    <w:rsid w:val="00EB0B34"/>
    <w:rsid w:val="00EB105F"/>
    <w:rsid w:val="00EB3CD0"/>
    <w:rsid w:val="00EB7ABC"/>
    <w:rsid w:val="00EB7D86"/>
    <w:rsid w:val="00EC224A"/>
    <w:rsid w:val="00EC2316"/>
    <w:rsid w:val="00EC3A8F"/>
    <w:rsid w:val="00EC43B2"/>
    <w:rsid w:val="00EC4AAC"/>
    <w:rsid w:val="00EC4EE0"/>
    <w:rsid w:val="00EC534B"/>
    <w:rsid w:val="00EC5EA5"/>
    <w:rsid w:val="00EC65EA"/>
    <w:rsid w:val="00EC7C62"/>
    <w:rsid w:val="00ED0E78"/>
    <w:rsid w:val="00ED1064"/>
    <w:rsid w:val="00ED1DB2"/>
    <w:rsid w:val="00ED48A4"/>
    <w:rsid w:val="00ED56CD"/>
    <w:rsid w:val="00ED5F0E"/>
    <w:rsid w:val="00ED7559"/>
    <w:rsid w:val="00ED7FE7"/>
    <w:rsid w:val="00EE0395"/>
    <w:rsid w:val="00EE0484"/>
    <w:rsid w:val="00EE1670"/>
    <w:rsid w:val="00EE3F56"/>
    <w:rsid w:val="00EE45C6"/>
    <w:rsid w:val="00EE5728"/>
    <w:rsid w:val="00EE641A"/>
    <w:rsid w:val="00EE773C"/>
    <w:rsid w:val="00EE7E45"/>
    <w:rsid w:val="00EF0FBB"/>
    <w:rsid w:val="00EF1CC6"/>
    <w:rsid w:val="00EF34EE"/>
    <w:rsid w:val="00EF4FBF"/>
    <w:rsid w:val="00EF5002"/>
    <w:rsid w:val="00EF583F"/>
    <w:rsid w:val="00EF6379"/>
    <w:rsid w:val="00F004F9"/>
    <w:rsid w:val="00F04F9E"/>
    <w:rsid w:val="00F062DE"/>
    <w:rsid w:val="00F07D6D"/>
    <w:rsid w:val="00F10BE2"/>
    <w:rsid w:val="00F115AE"/>
    <w:rsid w:val="00F1300F"/>
    <w:rsid w:val="00F14DE8"/>
    <w:rsid w:val="00F15205"/>
    <w:rsid w:val="00F17835"/>
    <w:rsid w:val="00F213EC"/>
    <w:rsid w:val="00F21411"/>
    <w:rsid w:val="00F21510"/>
    <w:rsid w:val="00F248B9"/>
    <w:rsid w:val="00F26346"/>
    <w:rsid w:val="00F271FB"/>
    <w:rsid w:val="00F335DF"/>
    <w:rsid w:val="00F3652E"/>
    <w:rsid w:val="00F37AD0"/>
    <w:rsid w:val="00F40CF4"/>
    <w:rsid w:val="00F42E06"/>
    <w:rsid w:val="00F42ED2"/>
    <w:rsid w:val="00F43691"/>
    <w:rsid w:val="00F43860"/>
    <w:rsid w:val="00F46EDD"/>
    <w:rsid w:val="00F5050E"/>
    <w:rsid w:val="00F508F4"/>
    <w:rsid w:val="00F52245"/>
    <w:rsid w:val="00F5291D"/>
    <w:rsid w:val="00F52A4B"/>
    <w:rsid w:val="00F52F10"/>
    <w:rsid w:val="00F55F3D"/>
    <w:rsid w:val="00F5620A"/>
    <w:rsid w:val="00F57CA1"/>
    <w:rsid w:val="00F603AF"/>
    <w:rsid w:val="00F60719"/>
    <w:rsid w:val="00F61FF3"/>
    <w:rsid w:val="00F6267A"/>
    <w:rsid w:val="00F6440A"/>
    <w:rsid w:val="00F6493C"/>
    <w:rsid w:val="00F67323"/>
    <w:rsid w:val="00F67ED6"/>
    <w:rsid w:val="00F7035C"/>
    <w:rsid w:val="00F70F28"/>
    <w:rsid w:val="00F72CA5"/>
    <w:rsid w:val="00F752B3"/>
    <w:rsid w:val="00F756C0"/>
    <w:rsid w:val="00F7595E"/>
    <w:rsid w:val="00F76122"/>
    <w:rsid w:val="00F80955"/>
    <w:rsid w:val="00F80C80"/>
    <w:rsid w:val="00F817F2"/>
    <w:rsid w:val="00F82793"/>
    <w:rsid w:val="00F829AE"/>
    <w:rsid w:val="00F82D75"/>
    <w:rsid w:val="00F83024"/>
    <w:rsid w:val="00F840AD"/>
    <w:rsid w:val="00F84E01"/>
    <w:rsid w:val="00F863F6"/>
    <w:rsid w:val="00F87129"/>
    <w:rsid w:val="00F87AF8"/>
    <w:rsid w:val="00F90F3C"/>
    <w:rsid w:val="00F9110B"/>
    <w:rsid w:val="00F916AA"/>
    <w:rsid w:val="00F91F83"/>
    <w:rsid w:val="00F92139"/>
    <w:rsid w:val="00F929F0"/>
    <w:rsid w:val="00F93588"/>
    <w:rsid w:val="00F9372E"/>
    <w:rsid w:val="00F93FA9"/>
    <w:rsid w:val="00F945A8"/>
    <w:rsid w:val="00F94F5F"/>
    <w:rsid w:val="00F94F61"/>
    <w:rsid w:val="00F95B28"/>
    <w:rsid w:val="00F9674E"/>
    <w:rsid w:val="00F96ADE"/>
    <w:rsid w:val="00F97617"/>
    <w:rsid w:val="00FA026C"/>
    <w:rsid w:val="00FA078E"/>
    <w:rsid w:val="00FA3B8A"/>
    <w:rsid w:val="00FA4316"/>
    <w:rsid w:val="00FA690A"/>
    <w:rsid w:val="00FA71FD"/>
    <w:rsid w:val="00FB0928"/>
    <w:rsid w:val="00FB1689"/>
    <w:rsid w:val="00FB1992"/>
    <w:rsid w:val="00FB3D09"/>
    <w:rsid w:val="00FB3DC6"/>
    <w:rsid w:val="00FB40F9"/>
    <w:rsid w:val="00FB4AFC"/>
    <w:rsid w:val="00FB4B65"/>
    <w:rsid w:val="00FB515C"/>
    <w:rsid w:val="00FB5542"/>
    <w:rsid w:val="00FB570D"/>
    <w:rsid w:val="00FB6692"/>
    <w:rsid w:val="00FB68A1"/>
    <w:rsid w:val="00FB6928"/>
    <w:rsid w:val="00FB6C5F"/>
    <w:rsid w:val="00FB724C"/>
    <w:rsid w:val="00FC121C"/>
    <w:rsid w:val="00FC1A7F"/>
    <w:rsid w:val="00FC1BA6"/>
    <w:rsid w:val="00FC22A6"/>
    <w:rsid w:val="00FC5FBA"/>
    <w:rsid w:val="00FD1912"/>
    <w:rsid w:val="00FD1B76"/>
    <w:rsid w:val="00FD2A68"/>
    <w:rsid w:val="00FD3B53"/>
    <w:rsid w:val="00FD48DD"/>
    <w:rsid w:val="00FD5798"/>
    <w:rsid w:val="00FD6B63"/>
    <w:rsid w:val="00FD6F46"/>
    <w:rsid w:val="00FD7596"/>
    <w:rsid w:val="00FE0669"/>
    <w:rsid w:val="00FE10BD"/>
    <w:rsid w:val="00FE138D"/>
    <w:rsid w:val="00FE1AAA"/>
    <w:rsid w:val="00FE2E88"/>
    <w:rsid w:val="00FE3723"/>
    <w:rsid w:val="00FE37C1"/>
    <w:rsid w:val="00FE3BE3"/>
    <w:rsid w:val="00FE3DF7"/>
    <w:rsid w:val="00FE3F05"/>
    <w:rsid w:val="00FE546B"/>
    <w:rsid w:val="00FE5648"/>
    <w:rsid w:val="00FE6666"/>
    <w:rsid w:val="00FF0D6E"/>
    <w:rsid w:val="00FF11BB"/>
    <w:rsid w:val="00FF1642"/>
    <w:rsid w:val="00FF278B"/>
    <w:rsid w:val="00FF47B9"/>
    <w:rsid w:val="00FF7131"/>
    <w:rsid w:val="00FF779C"/>
    <w:rsid w:val="00FF7D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2234EB9A"/>
  <w15:docId w15:val="{7C72D5FB-B4EC-44D3-8011-D2765B1A2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7628A"/>
    <w:rPr>
      <w:rFonts w:ascii="Tahoma" w:hAnsi="Tahoma" w:cs="Tahoma"/>
    </w:rPr>
  </w:style>
  <w:style w:type="paragraph" w:styleId="Nadpis1">
    <w:name w:val="heading 1"/>
    <w:basedOn w:val="Normln"/>
    <w:next w:val="Normln"/>
    <w:link w:val="Nadpis1Char"/>
    <w:uiPriority w:val="99"/>
    <w:qFormat/>
    <w:rsid w:val="000429CC"/>
    <w:pPr>
      <w:keepNext/>
      <w:numPr>
        <w:numId w:val="1"/>
      </w:numPr>
      <w:spacing w:before="240" w:after="240"/>
      <w:outlineLvl w:val="0"/>
    </w:pPr>
    <w:rPr>
      <w:rFonts w:ascii="Cambria" w:hAnsi="Cambria" w:cs="Times New Roman"/>
      <w:b/>
      <w:bCs/>
      <w:kern w:val="32"/>
      <w:sz w:val="32"/>
      <w:szCs w:val="32"/>
    </w:rPr>
  </w:style>
  <w:style w:type="paragraph" w:styleId="Nadpis2">
    <w:name w:val="heading 2"/>
    <w:basedOn w:val="Normln"/>
    <w:next w:val="Normln"/>
    <w:link w:val="Nadpis2Char"/>
    <w:uiPriority w:val="99"/>
    <w:qFormat/>
    <w:rsid w:val="001740BC"/>
    <w:pPr>
      <w:keepNext/>
      <w:spacing w:before="120" w:after="120"/>
      <w:outlineLvl w:val="1"/>
    </w:pPr>
    <w:rPr>
      <w:rFonts w:ascii="Cambria" w:hAnsi="Cambria" w:cs="Times New Roman"/>
      <w:b/>
      <w:bCs/>
      <w:i/>
      <w:iCs/>
      <w:sz w:val="28"/>
      <w:szCs w:val="28"/>
    </w:rPr>
  </w:style>
  <w:style w:type="paragraph" w:styleId="Nadpis3">
    <w:name w:val="heading 3"/>
    <w:basedOn w:val="Normln"/>
    <w:next w:val="Normln"/>
    <w:link w:val="Nadpis3Char"/>
    <w:uiPriority w:val="99"/>
    <w:qFormat/>
    <w:rsid w:val="00553826"/>
    <w:pPr>
      <w:keepNext/>
      <w:spacing w:before="120" w:after="60"/>
      <w:outlineLvl w:val="2"/>
    </w:pPr>
    <w:rPr>
      <w:rFonts w:ascii="Cambria" w:hAnsi="Cambria" w:cs="Times New Roman"/>
      <w:b/>
      <w:bCs/>
      <w:sz w:val="26"/>
      <w:szCs w:val="26"/>
    </w:rPr>
  </w:style>
  <w:style w:type="paragraph" w:styleId="Nadpis4">
    <w:name w:val="heading 4"/>
    <w:basedOn w:val="Normln"/>
    <w:next w:val="Normln"/>
    <w:link w:val="Nadpis4Char"/>
    <w:uiPriority w:val="99"/>
    <w:qFormat/>
    <w:rsid w:val="00C01E73"/>
    <w:pPr>
      <w:keepNext/>
      <w:tabs>
        <w:tab w:val="num" w:pos="864"/>
      </w:tabs>
      <w:spacing w:before="240" w:after="60"/>
      <w:ind w:left="864" w:hanging="864"/>
      <w:outlineLvl w:val="3"/>
    </w:pPr>
    <w:rPr>
      <w:rFonts w:ascii="Calibri" w:hAnsi="Calibri" w:cs="Times New Roman"/>
      <w:b/>
      <w:bCs/>
      <w:sz w:val="28"/>
      <w:szCs w:val="28"/>
    </w:rPr>
  </w:style>
  <w:style w:type="paragraph" w:styleId="Nadpis5">
    <w:name w:val="heading 5"/>
    <w:basedOn w:val="Normln"/>
    <w:next w:val="Normln"/>
    <w:link w:val="Nadpis5Char"/>
    <w:uiPriority w:val="99"/>
    <w:qFormat/>
    <w:rsid w:val="00C01E73"/>
    <w:pPr>
      <w:tabs>
        <w:tab w:val="num" w:pos="1008"/>
      </w:tabs>
      <w:spacing w:before="240" w:after="60"/>
      <w:ind w:left="1008" w:hanging="1008"/>
      <w:outlineLvl w:val="4"/>
    </w:pPr>
    <w:rPr>
      <w:rFonts w:ascii="Calibri" w:hAnsi="Calibri" w:cs="Times New Roman"/>
      <w:b/>
      <w:bCs/>
      <w:i/>
      <w:iCs/>
      <w:sz w:val="26"/>
      <w:szCs w:val="26"/>
    </w:rPr>
  </w:style>
  <w:style w:type="paragraph" w:styleId="Nadpis6">
    <w:name w:val="heading 6"/>
    <w:basedOn w:val="Normln"/>
    <w:next w:val="Normln"/>
    <w:link w:val="Nadpis6Char"/>
    <w:uiPriority w:val="99"/>
    <w:qFormat/>
    <w:rsid w:val="00C01E73"/>
    <w:pPr>
      <w:tabs>
        <w:tab w:val="num" w:pos="1152"/>
      </w:tabs>
      <w:spacing w:before="240" w:after="60"/>
      <w:ind w:left="1152" w:hanging="1152"/>
      <w:outlineLvl w:val="5"/>
    </w:pPr>
    <w:rPr>
      <w:rFonts w:ascii="Calibri" w:hAnsi="Calibri" w:cs="Times New Roman"/>
      <w:b/>
      <w:bCs/>
    </w:rPr>
  </w:style>
  <w:style w:type="paragraph" w:styleId="Nadpis7">
    <w:name w:val="heading 7"/>
    <w:basedOn w:val="Normln"/>
    <w:next w:val="Normln"/>
    <w:link w:val="Nadpis7Char"/>
    <w:uiPriority w:val="99"/>
    <w:qFormat/>
    <w:rsid w:val="00C01E73"/>
    <w:pPr>
      <w:tabs>
        <w:tab w:val="num" w:pos="1296"/>
      </w:tabs>
      <w:spacing w:before="240" w:after="60"/>
      <w:ind w:left="1296" w:hanging="1296"/>
      <w:outlineLvl w:val="6"/>
    </w:pPr>
    <w:rPr>
      <w:rFonts w:ascii="Calibri" w:hAnsi="Calibri" w:cs="Times New Roman"/>
      <w:sz w:val="24"/>
      <w:szCs w:val="24"/>
    </w:rPr>
  </w:style>
  <w:style w:type="paragraph" w:styleId="Nadpis8">
    <w:name w:val="heading 8"/>
    <w:basedOn w:val="Normln"/>
    <w:next w:val="Normln"/>
    <w:link w:val="Nadpis8Char"/>
    <w:uiPriority w:val="99"/>
    <w:qFormat/>
    <w:rsid w:val="00C01E73"/>
    <w:pPr>
      <w:tabs>
        <w:tab w:val="num" w:pos="1440"/>
      </w:tabs>
      <w:spacing w:before="240" w:after="60"/>
      <w:ind w:left="1440" w:hanging="1440"/>
      <w:outlineLvl w:val="7"/>
    </w:pPr>
    <w:rPr>
      <w:rFonts w:ascii="Calibri" w:hAnsi="Calibri" w:cs="Times New Roman"/>
      <w:i/>
      <w:iCs/>
      <w:sz w:val="24"/>
      <w:szCs w:val="24"/>
    </w:rPr>
  </w:style>
  <w:style w:type="paragraph" w:styleId="Nadpis9">
    <w:name w:val="heading 9"/>
    <w:basedOn w:val="Normln"/>
    <w:next w:val="Normln"/>
    <w:link w:val="Nadpis9Char"/>
    <w:uiPriority w:val="99"/>
    <w:qFormat/>
    <w:rsid w:val="00C01E73"/>
    <w:pPr>
      <w:tabs>
        <w:tab w:val="num" w:pos="1584"/>
      </w:tabs>
      <w:spacing w:before="240" w:after="60"/>
      <w:ind w:left="1584" w:hanging="1584"/>
      <w:outlineLvl w:val="8"/>
    </w:pPr>
    <w:rPr>
      <w:rFonts w:ascii="Cambria" w:hAnsi="Cambria"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CC2FBE"/>
    <w:rPr>
      <w:rFonts w:ascii="Cambria" w:hAnsi="Cambria" w:cs="Times New Roman"/>
      <w:b/>
      <w:kern w:val="32"/>
      <w:sz w:val="32"/>
    </w:rPr>
  </w:style>
  <w:style w:type="character" w:customStyle="1" w:styleId="Nadpis2Char">
    <w:name w:val="Nadpis 2 Char"/>
    <w:link w:val="Nadpis2"/>
    <w:uiPriority w:val="99"/>
    <w:semiHidden/>
    <w:locked/>
    <w:rsid w:val="00CC2FBE"/>
    <w:rPr>
      <w:rFonts w:ascii="Cambria" w:hAnsi="Cambria" w:cs="Times New Roman"/>
      <w:b/>
      <w:i/>
      <w:sz w:val="28"/>
    </w:rPr>
  </w:style>
  <w:style w:type="character" w:customStyle="1" w:styleId="Nadpis3Char">
    <w:name w:val="Nadpis 3 Char"/>
    <w:link w:val="Nadpis3"/>
    <w:uiPriority w:val="99"/>
    <w:semiHidden/>
    <w:locked/>
    <w:rsid w:val="00CC2FBE"/>
    <w:rPr>
      <w:rFonts w:ascii="Cambria" w:hAnsi="Cambria" w:cs="Times New Roman"/>
      <w:b/>
      <w:sz w:val="26"/>
    </w:rPr>
  </w:style>
  <w:style w:type="character" w:customStyle="1" w:styleId="Nadpis4Char">
    <w:name w:val="Nadpis 4 Char"/>
    <w:link w:val="Nadpis4"/>
    <w:uiPriority w:val="99"/>
    <w:semiHidden/>
    <w:locked/>
    <w:rsid w:val="00CC2FBE"/>
    <w:rPr>
      <w:rFonts w:ascii="Calibri" w:hAnsi="Calibri" w:cs="Times New Roman"/>
      <w:b/>
      <w:sz w:val="28"/>
    </w:rPr>
  </w:style>
  <w:style w:type="character" w:customStyle="1" w:styleId="Nadpis5Char">
    <w:name w:val="Nadpis 5 Char"/>
    <w:link w:val="Nadpis5"/>
    <w:uiPriority w:val="99"/>
    <w:semiHidden/>
    <w:locked/>
    <w:rsid w:val="00CC2FBE"/>
    <w:rPr>
      <w:rFonts w:ascii="Calibri" w:hAnsi="Calibri" w:cs="Times New Roman"/>
      <w:b/>
      <w:i/>
      <w:sz w:val="26"/>
    </w:rPr>
  </w:style>
  <w:style w:type="character" w:customStyle="1" w:styleId="Nadpis6Char">
    <w:name w:val="Nadpis 6 Char"/>
    <w:link w:val="Nadpis6"/>
    <w:uiPriority w:val="99"/>
    <w:semiHidden/>
    <w:locked/>
    <w:rsid w:val="00CC2FBE"/>
    <w:rPr>
      <w:rFonts w:ascii="Calibri" w:hAnsi="Calibri" w:cs="Times New Roman"/>
      <w:b/>
    </w:rPr>
  </w:style>
  <w:style w:type="character" w:customStyle="1" w:styleId="Nadpis7Char">
    <w:name w:val="Nadpis 7 Char"/>
    <w:link w:val="Nadpis7"/>
    <w:uiPriority w:val="99"/>
    <w:semiHidden/>
    <w:locked/>
    <w:rsid w:val="00CC2FBE"/>
    <w:rPr>
      <w:rFonts w:ascii="Calibri" w:hAnsi="Calibri" w:cs="Times New Roman"/>
      <w:sz w:val="24"/>
    </w:rPr>
  </w:style>
  <w:style w:type="character" w:customStyle="1" w:styleId="Nadpis8Char">
    <w:name w:val="Nadpis 8 Char"/>
    <w:link w:val="Nadpis8"/>
    <w:uiPriority w:val="99"/>
    <w:semiHidden/>
    <w:locked/>
    <w:rsid w:val="00CC2FBE"/>
    <w:rPr>
      <w:rFonts w:ascii="Calibri" w:hAnsi="Calibri" w:cs="Times New Roman"/>
      <w:i/>
      <w:sz w:val="24"/>
    </w:rPr>
  </w:style>
  <w:style w:type="character" w:customStyle="1" w:styleId="Nadpis9Char">
    <w:name w:val="Nadpis 9 Char"/>
    <w:link w:val="Nadpis9"/>
    <w:uiPriority w:val="99"/>
    <w:semiHidden/>
    <w:locked/>
    <w:rsid w:val="00CC2FBE"/>
    <w:rPr>
      <w:rFonts w:ascii="Cambria" w:hAnsi="Cambria" w:cs="Times New Roman"/>
    </w:rPr>
  </w:style>
  <w:style w:type="paragraph" w:customStyle="1" w:styleId="Normln1">
    <w:name w:val="Normální1"/>
    <w:basedOn w:val="Normln"/>
    <w:uiPriority w:val="99"/>
    <w:rsid w:val="00F17835"/>
    <w:pPr>
      <w:widowControl w:val="0"/>
      <w:autoSpaceDE w:val="0"/>
      <w:autoSpaceDN w:val="0"/>
    </w:pPr>
    <w:rPr>
      <w:rFonts w:ascii="Arial" w:hAnsi="Arial" w:cs="Arial"/>
      <w:color w:val="000000"/>
    </w:rPr>
  </w:style>
  <w:style w:type="paragraph" w:customStyle="1" w:styleId="Zkladntext1">
    <w:name w:val="Základní text1"/>
    <w:basedOn w:val="Normln1"/>
    <w:uiPriority w:val="99"/>
    <w:rsid w:val="00F17835"/>
    <w:pPr>
      <w:spacing w:line="235" w:lineRule="auto"/>
    </w:pPr>
    <w:rPr>
      <w:rFonts w:ascii="Times New Roman" w:hAnsi="Times New Roman" w:cs="Times New Roman"/>
      <w:noProof/>
      <w:color w:val="auto"/>
      <w:sz w:val="24"/>
      <w:szCs w:val="24"/>
      <w:lang w:val="en-US"/>
    </w:rPr>
  </w:style>
  <w:style w:type="paragraph" w:styleId="Obsah2">
    <w:name w:val="toc 2"/>
    <w:basedOn w:val="Normln"/>
    <w:next w:val="Normln"/>
    <w:autoRedefine/>
    <w:uiPriority w:val="99"/>
    <w:rsid w:val="00E81210"/>
    <w:pPr>
      <w:tabs>
        <w:tab w:val="left" w:pos="800"/>
        <w:tab w:val="right" w:pos="9061"/>
      </w:tabs>
      <w:ind w:left="198"/>
    </w:pPr>
    <w:rPr>
      <w:rFonts w:ascii="Calibri" w:hAnsi="Calibri"/>
      <w:i/>
      <w:iCs/>
    </w:rPr>
  </w:style>
  <w:style w:type="paragraph" w:styleId="Zkladntextodsazen2">
    <w:name w:val="Body Text Indent 2"/>
    <w:basedOn w:val="Normln"/>
    <w:link w:val="Zkladntextodsazen2Char"/>
    <w:uiPriority w:val="99"/>
    <w:rsid w:val="00A05967"/>
    <w:pPr>
      <w:autoSpaceDE w:val="0"/>
      <w:autoSpaceDN w:val="0"/>
      <w:ind w:left="1440"/>
    </w:pPr>
    <w:rPr>
      <w:rFonts w:cs="Times New Roman"/>
    </w:rPr>
  </w:style>
  <w:style w:type="character" w:customStyle="1" w:styleId="Zkladntextodsazen2Char">
    <w:name w:val="Základní text odsazený 2 Char"/>
    <w:link w:val="Zkladntextodsazen2"/>
    <w:uiPriority w:val="99"/>
    <w:semiHidden/>
    <w:locked/>
    <w:rsid w:val="00CC2FBE"/>
    <w:rPr>
      <w:rFonts w:ascii="Tahoma" w:hAnsi="Tahoma" w:cs="Times New Roman"/>
      <w:sz w:val="20"/>
    </w:rPr>
  </w:style>
  <w:style w:type="paragraph" w:styleId="Zkladntextodsazen">
    <w:name w:val="Body Text Indent"/>
    <w:basedOn w:val="Normln"/>
    <w:link w:val="ZkladntextodsazenChar"/>
    <w:uiPriority w:val="99"/>
    <w:rsid w:val="00A94ABB"/>
    <w:pPr>
      <w:spacing w:after="120"/>
      <w:ind w:left="283"/>
    </w:pPr>
    <w:rPr>
      <w:rFonts w:cs="Times New Roman"/>
    </w:rPr>
  </w:style>
  <w:style w:type="character" w:customStyle="1" w:styleId="ZkladntextodsazenChar">
    <w:name w:val="Základní text odsazený Char"/>
    <w:link w:val="Zkladntextodsazen"/>
    <w:uiPriority w:val="99"/>
    <w:semiHidden/>
    <w:locked/>
    <w:rsid w:val="00CC2FBE"/>
    <w:rPr>
      <w:rFonts w:ascii="Tahoma" w:hAnsi="Tahoma" w:cs="Times New Roman"/>
      <w:sz w:val="20"/>
    </w:rPr>
  </w:style>
  <w:style w:type="paragraph" w:styleId="Zhlav">
    <w:name w:val="header"/>
    <w:basedOn w:val="Normln1"/>
    <w:link w:val="ZhlavChar"/>
    <w:uiPriority w:val="99"/>
    <w:rsid w:val="00A94ABB"/>
    <w:pPr>
      <w:tabs>
        <w:tab w:val="center" w:pos="4536"/>
        <w:tab w:val="right" w:pos="7847"/>
      </w:tabs>
    </w:pPr>
    <w:rPr>
      <w:rFonts w:cs="Times New Roman"/>
    </w:rPr>
  </w:style>
  <w:style w:type="character" w:customStyle="1" w:styleId="ZhlavChar">
    <w:name w:val="Záhlaví Char"/>
    <w:link w:val="Zhlav"/>
    <w:uiPriority w:val="99"/>
    <w:locked/>
    <w:rsid w:val="0027024C"/>
    <w:rPr>
      <w:rFonts w:ascii="Arial" w:hAnsi="Arial" w:cs="Times New Roman"/>
      <w:color w:val="000000"/>
    </w:rPr>
  </w:style>
  <w:style w:type="paragraph" w:customStyle="1" w:styleId="Stnovannadpis">
    <w:name w:val="Stínovaný nadpis"/>
    <w:basedOn w:val="Normln"/>
    <w:next w:val="Normln"/>
    <w:uiPriority w:val="99"/>
    <w:rsid w:val="00A94ABB"/>
    <w:pPr>
      <w:widowControl w:val="0"/>
      <w:shd w:val="solid" w:color="000000" w:fill="auto"/>
      <w:autoSpaceDE w:val="0"/>
      <w:autoSpaceDN w:val="0"/>
      <w:jc w:val="center"/>
    </w:pPr>
    <w:rPr>
      <w:rFonts w:cs="Arial"/>
      <w:b/>
      <w:bCs/>
      <w:noProof/>
      <w:color w:val="FFFFFF"/>
      <w:sz w:val="36"/>
      <w:szCs w:val="36"/>
      <w:lang w:val="en-US"/>
    </w:rPr>
  </w:style>
  <w:style w:type="paragraph" w:styleId="Zkladntext">
    <w:name w:val="Body Text"/>
    <w:basedOn w:val="Normln"/>
    <w:link w:val="ZkladntextChar"/>
    <w:uiPriority w:val="99"/>
    <w:rsid w:val="00D972D8"/>
    <w:pPr>
      <w:spacing w:after="120"/>
    </w:pPr>
    <w:rPr>
      <w:rFonts w:cs="Times New Roman"/>
    </w:rPr>
  </w:style>
  <w:style w:type="character" w:customStyle="1" w:styleId="ZkladntextChar">
    <w:name w:val="Základní text Char"/>
    <w:link w:val="Zkladntext"/>
    <w:uiPriority w:val="99"/>
    <w:semiHidden/>
    <w:locked/>
    <w:rsid w:val="00CC2FBE"/>
    <w:rPr>
      <w:rFonts w:ascii="Tahoma" w:hAnsi="Tahoma" w:cs="Times New Roman"/>
      <w:sz w:val="20"/>
    </w:rPr>
  </w:style>
  <w:style w:type="paragraph" w:styleId="Zkladntextodsazen3">
    <w:name w:val="Body Text Indent 3"/>
    <w:basedOn w:val="Normln"/>
    <w:link w:val="Zkladntextodsazen3Char"/>
    <w:uiPriority w:val="99"/>
    <w:rsid w:val="00A625D6"/>
    <w:pPr>
      <w:spacing w:after="120"/>
      <w:ind w:left="283"/>
    </w:pPr>
    <w:rPr>
      <w:rFonts w:cs="Times New Roman"/>
      <w:sz w:val="16"/>
      <w:szCs w:val="16"/>
    </w:rPr>
  </w:style>
  <w:style w:type="character" w:customStyle="1" w:styleId="Zkladntextodsazen3Char">
    <w:name w:val="Základní text odsazený 3 Char"/>
    <w:link w:val="Zkladntextodsazen3"/>
    <w:uiPriority w:val="99"/>
    <w:semiHidden/>
    <w:locked/>
    <w:rsid w:val="00CC2FBE"/>
    <w:rPr>
      <w:rFonts w:ascii="Tahoma" w:hAnsi="Tahoma" w:cs="Times New Roman"/>
      <w:sz w:val="16"/>
    </w:rPr>
  </w:style>
  <w:style w:type="paragraph" w:customStyle="1" w:styleId="Seznamoslovan">
    <w:name w:val="Seznam očíslovaný"/>
    <w:basedOn w:val="Zkladntext"/>
    <w:uiPriority w:val="99"/>
    <w:rsid w:val="00A625D6"/>
    <w:pPr>
      <w:widowControl w:val="0"/>
      <w:autoSpaceDE w:val="0"/>
      <w:autoSpaceDN w:val="0"/>
      <w:spacing w:after="100"/>
      <w:ind w:left="480" w:hanging="480"/>
      <w:jc w:val="both"/>
    </w:pPr>
    <w:rPr>
      <w:rFonts w:cs="Arial"/>
      <w:noProof/>
      <w:lang w:val="en-US"/>
    </w:rPr>
  </w:style>
  <w:style w:type="paragraph" w:customStyle="1" w:styleId="StylZkladntextodsazen2TahomaVlevo0cm">
    <w:name w:val="Styl Základní text odsazený 2 + Tahoma Vlevo:  0 cm"/>
    <w:basedOn w:val="Zkladntextodsazen2"/>
    <w:uiPriority w:val="99"/>
    <w:rsid w:val="006637D1"/>
    <w:pPr>
      <w:ind w:left="0"/>
    </w:pPr>
  </w:style>
  <w:style w:type="paragraph" w:styleId="Obsah1">
    <w:name w:val="toc 1"/>
    <w:basedOn w:val="Normln"/>
    <w:next w:val="Normln"/>
    <w:autoRedefine/>
    <w:uiPriority w:val="39"/>
    <w:rsid w:val="004E3B76"/>
    <w:pPr>
      <w:tabs>
        <w:tab w:val="left" w:pos="400"/>
        <w:tab w:val="right" w:pos="9061"/>
      </w:tabs>
    </w:pPr>
    <w:rPr>
      <w:rFonts w:ascii="Calibri" w:hAnsi="Calibri"/>
      <w:bCs/>
      <w:sz w:val="18"/>
    </w:rPr>
  </w:style>
  <w:style w:type="paragraph" w:styleId="Obsah3">
    <w:name w:val="toc 3"/>
    <w:basedOn w:val="Normln"/>
    <w:next w:val="Normln"/>
    <w:autoRedefine/>
    <w:uiPriority w:val="99"/>
    <w:rsid w:val="00F6440A"/>
    <w:pPr>
      <w:ind w:left="400"/>
    </w:pPr>
    <w:rPr>
      <w:rFonts w:ascii="Calibri" w:hAnsi="Calibri"/>
    </w:rPr>
  </w:style>
  <w:style w:type="character" w:styleId="Hypertextovodkaz">
    <w:name w:val="Hyperlink"/>
    <w:uiPriority w:val="99"/>
    <w:rsid w:val="007B2108"/>
    <w:rPr>
      <w:rFonts w:cs="Times New Roman"/>
      <w:color w:val="0000FF"/>
      <w:u w:val="single"/>
    </w:rPr>
  </w:style>
  <w:style w:type="paragraph" w:styleId="Obsah4">
    <w:name w:val="toc 4"/>
    <w:basedOn w:val="Normln"/>
    <w:next w:val="Normln"/>
    <w:autoRedefine/>
    <w:uiPriority w:val="99"/>
    <w:semiHidden/>
    <w:rsid w:val="00B21AE3"/>
    <w:pPr>
      <w:ind w:left="600"/>
    </w:pPr>
    <w:rPr>
      <w:rFonts w:ascii="Calibri" w:hAnsi="Calibri"/>
    </w:rPr>
  </w:style>
  <w:style w:type="paragraph" w:styleId="Obsah5">
    <w:name w:val="toc 5"/>
    <w:basedOn w:val="Normln"/>
    <w:next w:val="Normln"/>
    <w:autoRedefine/>
    <w:uiPriority w:val="99"/>
    <w:semiHidden/>
    <w:rsid w:val="00B21AE3"/>
    <w:pPr>
      <w:ind w:left="800"/>
    </w:pPr>
    <w:rPr>
      <w:rFonts w:ascii="Calibri" w:hAnsi="Calibri"/>
    </w:rPr>
  </w:style>
  <w:style w:type="paragraph" w:styleId="Obsah6">
    <w:name w:val="toc 6"/>
    <w:basedOn w:val="Normln"/>
    <w:next w:val="Normln"/>
    <w:autoRedefine/>
    <w:uiPriority w:val="99"/>
    <w:semiHidden/>
    <w:rsid w:val="00B21AE3"/>
    <w:pPr>
      <w:ind w:left="1000"/>
    </w:pPr>
    <w:rPr>
      <w:rFonts w:ascii="Calibri" w:hAnsi="Calibri"/>
    </w:rPr>
  </w:style>
  <w:style w:type="paragraph" w:styleId="Obsah7">
    <w:name w:val="toc 7"/>
    <w:basedOn w:val="Normln"/>
    <w:next w:val="Normln"/>
    <w:autoRedefine/>
    <w:uiPriority w:val="99"/>
    <w:semiHidden/>
    <w:rsid w:val="00B21AE3"/>
    <w:pPr>
      <w:ind w:left="1200"/>
    </w:pPr>
    <w:rPr>
      <w:rFonts w:ascii="Calibri" w:hAnsi="Calibri"/>
    </w:rPr>
  </w:style>
  <w:style w:type="paragraph" w:styleId="Obsah8">
    <w:name w:val="toc 8"/>
    <w:basedOn w:val="Normln"/>
    <w:next w:val="Normln"/>
    <w:autoRedefine/>
    <w:uiPriority w:val="99"/>
    <w:semiHidden/>
    <w:rsid w:val="00B21AE3"/>
    <w:pPr>
      <w:ind w:left="1400"/>
    </w:pPr>
    <w:rPr>
      <w:rFonts w:ascii="Calibri" w:hAnsi="Calibri"/>
    </w:rPr>
  </w:style>
  <w:style w:type="paragraph" w:styleId="Obsah9">
    <w:name w:val="toc 9"/>
    <w:basedOn w:val="Normln"/>
    <w:next w:val="Normln"/>
    <w:autoRedefine/>
    <w:uiPriority w:val="99"/>
    <w:semiHidden/>
    <w:rsid w:val="00B21AE3"/>
    <w:pPr>
      <w:ind w:left="1600"/>
    </w:pPr>
    <w:rPr>
      <w:rFonts w:ascii="Calibri" w:hAnsi="Calibri"/>
    </w:rPr>
  </w:style>
  <w:style w:type="paragraph" w:styleId="Zpat">
    <w:name w:val="footer"/>
    <w:basedOn w:val="Normln"/>
    <w:link w:val="ZpatChar"/>
    <w:uiPriority w:val="99"/>
    <w:rsid w:val="003760D9"/>
    <w:pPr>
      <w:tabs>
        <w:tab w:val="center" w:pos="4536"/>
        <w:tab w:val="right" w:pos="9072"/>
      </w:tabs>
    </w:pPr>
    <w:rPr>
      <w:rFonts w:cs="Times New Roman"/>
    </w:rPr>
  </w:style>
  <w:style w:type="character" w:customStyle="1" w:styleId="ZpatChar">
    <w:name w:val="Zápatí Char"/>
    <w:link w:val="Zpat"/>
    <w:uiPriority w:val="99"/>
    <w:locked/>
    <w:rsid w:val="00C775C6"/>
    <w:rPr>
      <w:rFonts w:ascii="Tahoma" w:hAnsi="Tahoma" w:cs="Times New Roman"/>
    </w:rPr>
  </w:style>
  <w:style w:type="paragraph" w:styleId="Rozloendokumentu">
    <w:name w:val="Document Map"/>
    <w:basedOn w:val="Normln"/>
    <w:link w:val="RozloendokumentuChar"/>
    <w:uiPriority w:val="99"/>
    <w:semiHidden/>
    <w:rsid w:val="00F840AD"/>
    <w:pPr>
      <w:shd w:val="clear" w:color="auto" w:fill="000080"/>
    </w:pPr>
    <w:rPr>
      <w:rFonts w:ascii="Times New Roman" w:hAnsi="Times New Roman" w:cs="Times New Roman"/>
      <w:sz w:val="2"/>
    </w:rPr>
  </w:style>
  <w:style w:type="character" w:customStyle="1" w:styleId="RozloendokumentuChar">
    <w:name w:val="Rozložení dokumentu Char"/>
    <w:link w:val="Rozloendokumentu"/>
    <w:uiPriority w:val="99"/>
    <w:semiHidden/>
    <w:locked/>
    <w:rsid w:val="00CC2FBE"/>
    <w:rPr>
      <w:rFonts w:cs="Times New Roman"/>
      <w:sz w:val="2"/>
    </w:rPr>
  </w:style>
  <w:style w:type="paragraph" w:styleId="Zkladntext2">
    <w:name w:val="Body Text 2"/>
    <w:basedOn w:val="Normln"/>
    <w:link w:val="Zkladntext2Char"/>
    <w:uiPriority w:val="99"/>
    <w:rsid w:val="00C01E73"/>
    <w:pPr>
      <w:spacing w:after="120" w:line="480" w:lineRule="auto"/>
    </w:pPr>
    <w:rPr>
      <w:rFonts w:cs="Times New Roman"/>
    </w:rPr>
  </w:style>
  <w:style w:type="character" w:customStyle="1" w:styleId="Zkladntext2Char">
    <w:name w:val="Základní text 2 Char"/>
    <w:link w:val="Zkladntext2"/>
    <w:uiPriority w:val="99"/>
    <w:semiHidden/>
    <w:locked/>
    <w:rsid w:val="00CC2FBE"/>
    <w:rPr>
      <w:rFonts w:ascii="Tahoma" w:hAnsi="Tahoma" w:cs="Times New Roman"/>
      <w:sz w:val="20"/>
    </w:rPr>
  </w:style>
  <w:style w:type="paragraph" w:customStyle="1" w:styleId="Import3">
    <w:name w:val="Import 3"/>
    <w:uiPriority w:val="99"/>
    <w:rsid w:val="00711542"/>
    <w:pPr>
      <w:tabs>
        <w:tab w:val="left" w:pos="648"/>
        <w:tab w:val="left" w:pos="1512"/>
        <w:tab w:val="left" w:pos="2376"/>
        <w:tab w:val="left" w:pos="3240"/>
        <w:tab w:val="left" w:pos="4104"/>
        <w:tab w:val="left" w:pos="4968"/>
        <w:tab w:val="left" w:pos="5832"/>
        <w:tab w:val="left" w:pos="6696"/>
        <w:tab w:val="left" w:pos="7560"/>
        <w:tab w:val="left" w:pos="8424"/>
      </w:tabs>
      <w:autoSpaceDE w:val="0"/>
      <w:autoSpaceDN w:val="0"/>
      <w:jc w:val="both"/>
    </w:pPr>
    <w:rPr>
      <w:sz w:val="24"/>
      <w:szCs w:val="24"/>
      <w:lang w:val="en-US"/>
    </w:rPr>
  </w:style>
  <w:style w:type="paragraph" w:customStyle="1" w:styleId="Import2">
    <w:name w:val="Import 2"/>
    <w:uiPriority w:val="99"/>
    <w:rsid w:val="00711542"/>
    <w:pPr>
      <w:tabs>
        <w:tab w:val="left" w:pos="648"/>
        <w:tab w:val="left" w:pos="1512"/>
        <w:tab w:val="left" w:pos="2376"/>
        <w:tab w:val="left" w:pos="3240"/>
        <w:tab w:val="left" w:pos="4104"/>
        <w:tab w:val="left" w:pos="4968"/>
        <w:tab w:val="left" w:pos="5832"/>
        <w:tab w:val="left" w:pos="6696"/>
        <w:tab w:val="left" w:pos="7560"/>
        <w:tab w:val="left" w:pos="8424"/>
      </w:tabs>
      <w:autoSpaceDE w:val="0"/>
      <w:autoSpaceDN w:val="0"/>
      <w:jc w:val="both"/>
    </w:pPr>
    <w:rPr>
      <w:b/>
      <w:bCs/>
      <w:sz w:val="24"/>
      <w:szCs w:val="24"/>
      <w:lang w:val="en-US"/>
    </w:rPr>
  </w:style>
  <w:style w:type="paragraph" w:customStyle="1" w:styleId="normalodsazene">
    <w:name w:val="normalodsazene"/>
    <w:basedOn w:val="Normln"/>
    <w:uiPriority w:val="99"/>
    <w:rsid w:val="00711542"/>
    <w:pPr>
      <w:overflowPunct w:val="0"/>
      <w:autoSpaceDE w:val="0"/>
      <w:autoSpaceDN w:val="0"/>
      <w:adjustRightInd w:val="0"/>
      <w:spacing w:before="100" w:after="100"/>
      <w:textAlignment w:val="baseline"/>
    </w:pPr>
  </w:style>
  <w:style w:type="paragraph" w:styleId="Normlnweb">
    <w:name w:val="Normal (Web)"/>
    <w:basedOn w:val="Normln"/>
    <w:uiPriority w:val="99"/>
    <w:rsid w:val="00EA7BC8"/>
    <w:pPr>
      <w:spacing w:before="100" w:beforeAutospacing="1" w:after="100" w:afterAutospacing="1"/>
    </w:pPr>
    <w:rPr>
      <w:rFonts w:ascii="Times New Roman" w:hAnsi="Times New Roman" w:cs="Times New Roman"/>
      <w:sz w:val="24"/>
      <w:szCs w:val="24"/>
    </w:rPr>
  </w:style>
  <w:style w:type="character" w:styleId="Siln">
    <w:name w:val="Strong"/>
    <w:uiPriority w:val="99"/>
    <w:qFormat/>
    <w:rsid w:val="00EA7BC8"/>
    <w:rPr>
      <w:rFonts w:cs="Times New Roman"/>
      <w:b/>
    </w:rPr>
  </w:style>
  <w:style w:type="paragraph" w:styleId="Textvbloku">
    <w:name w:val="Block Text"/>
    <w:basedOn w:val="Normln"/>
    <w:rsid w:val="00D231D8"/>
    <w:pPr>
      <w:ind w:left="1560" w:right="566"/>
      <w:jc w:val="both"/>
    </w:pPr>
    <w:rPr>
      <w:rFonts w:ascii="Arial" w:hAnsi="Arial" w:cs="Times New Roman"/>
      <w:sz w:val="18"/>
    </w:rPr>
  </w:style>
  <w:style w:type="character" w:styleId="slostrnky">
    <w:name w:val="page number"/>
    <w:uiPriority w:val="99"/>
    <w:rsid w:val="004D7E11"/>
    <w:rPr>
      <w:rFonts w:cs="Times New Roman"/>
    </w:rPr>
  </w:style>
  <w:style w:type="table" w:styleId="Mkatabulky">
    <w:name w:val="Table Grid"/>
    <w:basedOn w:val="Normlntabulka"/>
    <w:uiPriority w:val="99"/>
    <w:rsid w:val="00562E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rsid w:val="00EE773C"/>
    <w:rPr>
      <w:rFonts w:cs="Times New Roman"/>
      <w:sz w:val="16"/>
      <w:szCs w:val="16"/>
    </w:rPr>
  </w:style>
  <w:style w:type="character" w:customStyle="1" w:styleId="TextbublinyChar">
    <w:name w:val="Text bubliny Char"/>
    <w:link w:val="Textbubliny"/>
    <w:uiPriority w:val="99"/>
    <w:locked/>
    <w:rsid w:val="00EE773C"/>
    <w:rPr>
      <w:rFonts w:ascii="Tahoma" w:hAnsi="Tahoma" w:cs="Times New Roman"/>
      <w:sz w:val="16"/>
    </w:rPr>
  </w:style>
  <w:style w:type="character" w:styleId="Sledovanodkaz">
    <w:name w:val="FollowedHyperlink"/>
    <w:uiPriority w:val="99"/>
    <w:rsid w:val="00F6440A"/>
    <w:rPr>
      <w:rFonts w:cs="Times New Roman"/>
      <w:color w:val="800080"/>
      <w:u w:val="single"/>
    </w:rPr>
  </w:style>
  <w:style w:type="paragraph" w:styleId="Odstavecseseznamem">
    <w:name w:val="List Paragraph"/>
    <w:basedOn w:val="Normln"/>
    <w:uiPriority w:val="34"/>
    <w:qFormat/>
    <w:rsid w:val="00853FD5"/>
    <w:pPr>
      <w:ind w:left="708"/>
    </w:pPr>
  </w:style>
  <w:style w:type="paragraph" w:styleId="Nadpisobsahu">
    <w:name w:val="TOC Heading"/>
    <w:basedOn w:val="Nadpis1"/>
    <w:next w:val="Normln"/>
    <w:uiPriority w:val="99"/>
    <w:qFormat/>
    <w:rsid w:val="00965FBD"/>
    <w:pPr>
      <w:keepLines/>
      <w:numPr>
        <w:numId w:val="0"/>
      </w:numPr>
      <w:spacing w:before="480" w:after="0" w:line="276" w:lineRule="auto"/>
      <w:outlineLvl w:val="9"/>
    </w:pPr>
    <w:rPr>
      <w:color w:val="365F91"/>
      <w:kern w:val="0"/>
      <w:lang w:eastAsia="en-US"/>
    </w:rPr>
  </w:style>
  <w:style w:type="paragraph" w:customStyle="1" w:styleId="NormlnBlok">
    <w:name w:val="Normální+Blok"/>
    <w:basedOn w:val="Normln"/>
    <w:uiPriority w:val="99"/>
    <w:rsid w:val="0027024C"/>
    <w:pPr>
      <w:jc w:val="both"/>
    </w:pPr>
    <w:rPr>
      <w:rFonts w:ascii="Times New Roman" w:hAnsi="Times New Roman" w:cs="Times New Roman"/>
      <w:spacing w:val="6"/>
      <w:sz w:val="24"/>
    </w:rPr>
  </w:style>
  <w:style w:type="paragraph" w:customStyle="1" w:styleId="Neodstavec">
    <w:name w:val="Neodstavec"/>
    <w:basedOn w:val="Normln"/>
    <w:uiPriority w:val="99"/>
    <w:rsid w:val="00206842"/>
    <w:pPr>
      <w:jc w:val="both"/>
    </w:pPr>
    <w:rPr>
      <w:rFonts w:ascii="Times New Roman" w:hAnsi="Times New Roman" w:cs="Times New Roman"/>
      <w:sz w:val="24"/>
    </w:rPr>
  </w:style>
  <w:style w:type="paragraph" w:customStyle="1" w:styleId="4ZakladniPGP">
    <w:name w:val="4 Zakladni PGP"/>
    <w:basedOn w:val="Normln"/>
    <w:uiPriority w:val="99"/>
    <w:rsid w:val="00C022D9"/>
    <w:pPr>
      <w:widowControl w:val="0"/>
      <w:suppressAutoHyphens/>
      <w:overflowPunct w:val="0"/>
      <w:autoSpaceDE w:val="0"/>
      <w:spacing w:before="120"/>
      <w:ind w:firstLine="284"/>
      <w:textAlignment w:val="baseline"/>
    </w:pPr>
    <w:rPr>
      <w:rFonts w:ascii="Arial" w:eastAsia="Arial Unicode MS" w:hAnsi="Arial"/>
      <w:sz w:val="22"/>
      <w:szCs w:val="24"/>
      <w:lang w:eastAsia="ar-SA"/>
    </w:rPr>
  </w:style>
  <w:style w:type="paragraph" w:customStyle="1" w:styleId="cc">
    <w:name w:val="cc"/>
    <w:basedOn w:val="Normln"/>
    <w:rsid w:val="000A5D20"/>
    <w:pPr>
      <w:spacing w:before="100" w:beforeAutospacing="1" w:after="100" w:afterAutospacing="1"/>
    </w:pPr>
    <w:rPr>
      <w:rFonts w:ascii="Times New Roman" w:hAnsi="Times New Roman" w:cs="Times New Roman"/>
      <w:sz w:val="24"/>
      <w:szCs w:val="24"/>
    </w:rPr>
  </w:style>
  <w:style w:type="paragraph" w:customStyle="1" w:styleId="Zkladntext31">
    <w:name w:val="Základní text 31"/>
    <w:basedOn w:val="Normln"/>
    <w:uiPriority w:val="99"/>
    <w:rsid w:val="00F004F9"/>
    <w:rPr>
      <w:rFonts w:ascii="Times New Roman" w:hAnsi="Times New Roman" w:cs="Times New Roman"/>
      <w:spacing w:val="6"/>
      <w:sz w:val="24"/>
    </w:rPr>
  </w:style>
  <w:style w:type="paragraph" w:styleId="z-Konecformule">
    <w:name w:val="HTML Bottom of Form"/>
    <w:basedOn w:val="Normln"/>
    <w:next w:val="Normln"/>
    <w:link w:val="z-KonecformuleChar"/>
    <w:hidden/>
    <w:uiPriority w:val="99"/>
    <w:locked/>
    <w:rsid w:val="0056529C"/>
    <w:pPr>
      <w:pBdr>
        <w:top w:val="single" w:sz="6" w:space="1" w:color="auto"/>
      </w:pBdr>
      <w:jc w:val="center"/>
    </w:pPr>
    <w:rPr>
      <w:rFonts w:ascii="Arial" w:hAnsi="Arial" w:cs="Arial"/>
      <w:vanish/>
      <w:sz w:val="16"/>
      <w:szCs w:val="16"/>
    </w:rPr>
  </w:style>
  <w:style w:type="character" w:customStyle="1" w:styleId="z-KonecformuleChar">
    <w:name w:val="z-Konec formuláře Char"/>
    <w:link w:val="z-Konecformule"/>
    <w:uiPriority w:val="99"/>
    <w:rsid w:val="0056529C"/>
    <w:rPr>
      <w:rFonts w:ascii="Arial" w:hAnsi="Arial" w:cs="Arial"/>
      <w:vanish/>
      <w:sz w:val="16"/>
      <w:szCs w:val="16"/>
    </w:rPr>
  </w:style>
  <w:style w:type="character" w:styleId="PromnnHTML">
    <w:name w:val="HTML Variable"/>
    <w:basedOn w:val="Standardnpsmoodstavce"/>
    <w:uiPriority w:val="99"/>
    <w:semiHidden/>
    <w:unhideWhenUsed/>
    <w:locked/>
    <w:rsid w:val="00954571"/>
    <w:rPr>
      <w:i/>
      <w:iCs/>
    </w:rPr>
  </w:style>
  <w:style w:type="paragraph" w:customStyle="1" w:styleId="l5">
    <w:name w:val="l5"/>
    <w:basedOn w:val="Normln"/>
    <w:rsid w:val="00ED1064"/>
    <w:pPr>
      <w:spacing w:before="100" w:beforeAutospacing="1" w:after="100" w:afterAutospacing="1"/>
    </w:pPr>
    <w:rPr>
      <w:rFonts w:ascii="Times New Roman" w:hAnsi="Times New Roman" w:cs="Times New Roman"/>
      <w:sz w:val="24"/>
      <w:szCs w:val="24"/>
    </w:rPr>
  </w:style>
  <w:style w:type="paragraph" w:customStyle="1" w:styleId="NormlnIMP">
    <w:name w:val="Normální_IMP"/>
    <w:basedOn w:val="Normln"/>
    <w:rsid w:val="00CE3C72"/>
    <w:pPr>
      <w:tabs>
        <w:tab w:val="left" w:pos="0"/>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926"/>
        <w:tab w:val="left" w:pos="10635"/>
        <w:tab w:val="left" w:pos="11344"/>
        <w:tab w:val="left" w:pos="12053"/>
        <w:tab w:val="left" w:pos="12762"/>
        <w:tab w:val="left" w:pos="13471"/>
        <w:tab w:val="left" w:pos="14180"/>
        <w:tab w:val="left" w:pos="14889"/>
        <w:tab w:val="left" w:pos="15598"/>
        <w:tab w:val="left" w:pos="16307"/>
        <w:tab w:val="left" w:pos="17016"/>
        <w:tab w:val="left" w:pos="17725"/>
        <w:tab w:val="left" w:pos="18434"/>
        <w:tab w:val="left" w:pos="19143"/>
        <w:tab w:val="left" w:pos="19852"/>
        <w:tab w:val="left" w:pos="20561"/>
        <w:tab w:val="left" w:pos="21270"/>
        <w:tab w:val="left" w:pos="21979"/>
      </w:tabs>
      <w:suppressAutoHyphens/>
      <w:spacing w:line="276" w:lineRule="auto"/>
    </w:pPr>
    <w:rPr>
      <w:rFonts w:ascii="Times New Roman" w:hAnsi="Times New Roman" w:cs="Times New Roman"/>
      <w:sz w:val="24"/>
    </w:rPr>
  </w:style>
  <w:style w:type="paragraph" w:styleId="Titulek">
    <w:name w:val="caption"/>
    <w:basedOn w:val="Normln"/>
    <w:next w:val="Normln"/>
    <w:uiPriority w:val="35"/>
    <w:unhideWhenUsed/>
    <w:qFormat/>
    <w:locked/>
    <w:rsid w:val="00966065"/>
    <w:pPr>
      <w:spacing w:after="200"/>
    </w:pPr>
    <w:rPr>
      <w:rFonts w:asciiTheme="minorHAnsi" w:eastAsiaTheme="minorHAnsi" w:hAnsiTheme="minorHAnsi" w:cstheme="minorBidi"/>
      <w:b/>
      <w:bCs/>
      <w:color w:val="4F81BD" w:themeColor="accent1"/>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778657">
      <w:bodyDiv w:val="1"/>
      <w:marLeft w:val="0"/>
      <w:marRight w:val="0"/>
      <w:marTop w:val="0"/>
      <w:marBottom w:val="0"/>
      <w:divBdr>
        <w:top w:val="none" w:sz="0" w:space="0" w:color="auto"/>
        <w:left w:val="none" w:sz="0" w:space="0" w:color="auto"/>
        <w:bottom w:val="none" w:sz="0" w:space="0" w:color="auto"/>
        <w:right w:val="none" w:sz="0" w:space="0" w:color="auto"/>
      </w:divBdr>
    </w:div>
    <w:div w:id="287400100">
      <w:marLeft w:val="0"/>
      <w:marRight w:val="0"/>
      <w:marTop w:val="0"/>
      <w:marBottom w:val="0"/>
      <w:divBdr>
        <w:top w:val="none" w:sz="0" w:space="0" w:color="auto"/>
        <w:left w:val="none" w:sz="0" w:space="0" w:color="auto"/>
        <w:bottom w:val="none" w:sz="0" w:space="0" w:color="auto"/>
        <w:right w:val="none" w:sz="0" w:space="0" w:color="auto"/>
      </w:divBdr>
    </w:div>
    <w:div w:id="287400101">
      <w:marLeft w:val="0"/>
      <w:marRight w:val="0"/>
      <w:marTop w:val="0"/>
      <w:marBottom w:val="0"/>
      <w:divBdr>
        <w:top w:val="none" w:sz="0" w:space="0" w:color="auto"/>
        <w:left w:val="none" w:sz="0" w:space="0" w:color="auto"/>
        <w:bottom w:val="none" w:sz="0" w:space="0" w:color="auto"/>
        <w:right w:val="none" w:sz="0" w:space="0" w:color="auto"/>
      </w:divBdr>
    </w:div>
    <w:div w:id="287400102">
      <w:marLeft w:val="0"/>
      <w:marRight w:val="0"/>
      <w:marTop w:val="0"/>
      <w:marBottom w:val="0"/>
      <w:divBdr>
        <w:top w:val="none" w:sz="0" w:space="0" w:color="auto"/>
        <w:left w:val="none" w:sz="0" w:space="0" w:color="auto"/>
        <w:bottom w:val="none" w:sz="0" w:space="0" w:color="auto"/>
        <w:right w:val="none" w:sz="0" w:space="0" w:color="auto"/>
      </w:divBdr>
    </w:div>
    <w:div w:id="287400103">
      <w:marLeft w:val="0"/>
      <w:marRight w:val="0"/>
      <w:marTop w:val="0"/>
      <w:marBottom w:val="0"/>
      <w:divBdr>
        <w:top w:val="none" w:sz="0" w:space="0" w:color="auto"/>
        <w:left w:val="none" w:sz="0" w:space="0" w:color="auto"/>
        <w:bottom w:val="none" w:sz="0" w:space="0" w:color="auto"/>
        <w:right w:val="none" w:sz="0" w:space="0" w:color="auto"/>
      </w:divBdr>
    </w:div>
    <w:div w:id="287400104">
      <w:marLeft w:val="0"/>
      <w:marRight w:val="0"/>
      <w:marTop w:val="0"/>
      <w:marBottom w:val="0"/>
      <w:divBdr>
        <w:top w:val="none" w:sz="0" w:space="0" w:color="auto"/>
        <w:left w:val="none" w:sz="0" w:space="0" w:color="auto"/>
        <w:bottom w:val="none" w:sz="0" w:space="0" w:color="auto"/>
        <w:right w:val="none" w:sz="0" w:space="0" w:color="auto"/>
      </w:divBdr>
    </w:div>
    <w:div w:id="287400105">
      <w:marLeft w:val="0"/>
      <w:marRight w:val="0"/>
      <w:marTop w:val="0"/>
      <w:marBottom w:val="0"/>
      <w:divBdr>
        <w:top w:val="none" w:sz="0" w:space="0" w:color="auto"/>
        <w:left w:val="none" w:sz="0" w:space="0" w:color="auto"/>
        <w:bottom w:val="none" w:sz="0" w:space="0" w:color="auto"/>
        <w:right w:val="none" w:sz="0" w:space="0" w:color="auto"/>
      </w:divBdr>
    </w:div>
    <w:div w:id="287400106">
      <w:marLeft w:val="0"/>
      <w:marRight w:val="0"/>
      <w:marTop w:val="0"/>
      <w:marBottom w:val="0"/>
      <w:divBdr>
        <w:top w:val="none" w:sz="0" w:space="0" w:color="auto"/>
        <w:left w:val="none" w:sz="0" w:space="0" w:color="auto"/>
        <w:bottom w:val="none" w:sz="0" w:space="0" w:color="auto"/>
        <w:right w:val="none" w:sz="0" w:space="0" w:color="auto"/>
      </w:divBdr>
    </w:div>
    <w:div w:id="287400107">
      <w:marLeft w:val="0"/>
      <w:marRight w:val="0"/>
      <w:marTop w:val="0"/>
      <w:marBottom w:val="0"/>
      <w:divBdr>
        <w:top w:val="none" w:sz="0" w:space="0" w:color="auto"/>
        <w:left w:val="none" w:sz="0" w:space="0" w:color="auto"/>
        <w:bottom w:val="none" w:sz="0" w:space="0" w:color="auto"/>
        <w:right w:val="none" w:sz="0" w:space="0" w:color="auto"/>
      </w:divBdr>
    </w:div>
    <w:div w:id="287400108">
      <w:marLeft w:val="0"/>
      <w:marRight w:val="0"/>
      <w:marTop w:val="0"/>
      <w:marBottom w:val="0"/>
      <w:divBdr>
        <w:top w:val="none" w:sz="0" w:space="0" w:color="auto"/>
        <w:left w:val="none" w:sz="0" w:space="0" w:color="auto"/>
        <w:bottom w:val="none" w:sz="0" w:space="0" w:color="auto"/>
        <w:right w:val="none" w:sz="0" w:space="0" w:color="auto"/>
      </w:divBdr>
    </w:div>
    <w:div w:id="287400109">
      <w:marLeft w:val="0"/>
      <w:marRight w:val="0"/>
      <w:marTop w:val="0"/>
      <w:marBottom w:val="0"/>
      <w:divBdr>
        <w:top w:val="none" w:sz="0" w:space="0" w:color="auto"/>
        <w:left w:val="none" w:sz="0" w:space="0" w:color="auto"/>
        <w:bottom w:val="none" w:sz="0" w:space="0" w:color="auto"/>
        <w:right w:val="none" w:sz="0" w:space="0" w:color="auto"/>
      </w:divBdr>
    </w:div>
    <w:div w:id="287400110">
      <w:marLeft w:val="0"/>
      <w:marRight w:val="0"/>
      <w:marTop w:val="0"/>
      <w:marBottom w:val="0"/>
      <w:divBdr>
        <w:top w:val="none" w:sz="0" w:space="0" w:color="auto"/>
        <w:left w:val="none" w:sz="0" w:space="0" w:color="auto"/>
        <w:bottom w:val="none" w:sz="0" w:space="0" w:color="auto"/>
        <w:right w:val="none" w:sz="0" w:space="0" w:color="auto"/>
      </w:divBdr>
    </w:div>
    <w:div w:id="287400111">
      <w:marLeft w:val="0"/>
      <w:marRight w:val="0"/>
      <w:marTop w:val="0"/>
      <w:marBottom w:val="0"/>
      <w:divBdr>
        <w:top w:val="none" w:sz="0" w:space="0" w:color="auto"/>
        <w:left w:val="none" w:sz="0" w:space="0" w:color="auto"/>
        <w:bottom w:val="none" w:sz="0" w:space="0" w:color="auto"/>
        <w:right w:val="none" w:sz="0" w:space="0" w:color="auto"/>
      </w:divBdr>
    </w:div>
    <w:div w:id="287400112">
      <w:marLeft w:val="0"/>
      <w:marRight w:val="0"/>
      <w:marTop w:val="0"/>
      <w:marBottom w:val="0"/>
      <w:divBdr>
        <w:top w:val="none" w:sz="0" w:space="0" w:color="auto"/>
        <w:left w:val="none" w:sz="0" w:space="0" w:color="auto"/>
        <w:bottom w:val="none" w:sz="0" w:space="0" w:color="auto"/>
        <w:right w:val="none" w:sz="0" w:space="0" w:color="auto"/>
      </w:divBdr>
    </w:div>
    <w:div w:id="287400113">
      <w:marLeft w:val="0"/>
      <w:marRight w:val="0"/>
      <w:marTop w:val="0"/>
      <w:marBottom w:val="0"/>
      <w:divBdr>
        <w:top w:val="none" w:sz="0" w:space="0" w:color="auto"/>
        <w:left w:val="none" w:sz="0" w:space="0" w:color="auto"/>
        <w:bottom w:val="none" w:sz="0" w:space="0" w:color="auto"/>
        <w:right w:val="none" w:sz="0" w:space="0" w:color="auto"/>
      </w:divBdr>
    </w:div>
    <w:div w:id="287400114">
      <w:marLeft w:val="0"/>
      <w:marRight w:val="0"/>
      <w:marTop w:val="0"/>
      <w:marBottom w:val="0"/>
      <w:divBdr>
        <w:top w:val="none" w:sz="0" w:space="0" w:color="auto"/>
        <w:left w:val="none" w:sz="0" w:space="0" w:color="auto"/>
        <w:bottom w:val="none" w:sz="0" w:space="0" w:color="auto"/>
        <w:right w:val="none" w:sz="0" w:space="0" w:color="auto"/>
      </w:divBdr>
    </w:div>
    <w:div w:id="287400115">
      <w:marLeft w:val="0"/>
      <w:marRight w:val="0"/>
      <w:marTop w:val="0"/>
      <w:marBottom w:val="0"/>
      <w:divBdr>
        <w:top w:val="none" w:sz="0" w:space="0" w:color="auto"/>
        <w:left w:val="none" w:sz="0" w:space="0" w:color="auto"/>
        <w:bottom w:val="none" w:sz="0" w:space="0" w:color="auto"/>
        <w:right w:val="none" w:sz="0" w:space="0" w:color="auto"/>
      </w:divBdr>
    </w:div>
    <w:div w:id="287400116">
      <w:marLeft w:val="0"/>
      <w:marRight w:val="0"/>
      <w:marTop w:val="0"/>
      <w:marBottom w:val="0"/>
      <w:divBdr>
        <w:top w:val="none" w:sz="0" w:space="0" w:color="auto"/>
        <w:left w:val="none" w:sz="0" w:space="0" w:color="auto"/>
        <w:bottom w:val="none" w:sz="0" w:space="0" w:color="auto"/>
        <w:right w:val="none" w:sz="0" w:space="0" w:color="auto"/>
      </w:divBdr>
    </w:div>
    <w:div w:id="287400117">
      <w:marLeft w:val="0"/>
      <w:marRight w:val="0"/>
      <w:marTop w:val="0"/>
      <w:marBottom w:val="0"/>
      <w:divBdr>
        <w:top w:val="none" w:sz="0" w:space="0" w:color="auto"/>
        <w:left w:val="none" w:sz="0" w:space="0" w:color="auto"/>
        <w:bottom w:val="none" w:sz="0" w:space="0" w:color="auto"/>
        <w:right w:val="none" w:sz="0" w:space="0" w:color="auto"/>
      </w:divBdr>
    </w:div>
    <w:div w:id="287400118">
      <w:marLeft w:val="0"/>
      <w:marRight w:val="0"/>
      <w:marTop w:val="0"/>
      <w:marBottom w:val="0"/>
      <w:divBdr>
        <w:top w:val="none" w:sz="0" w:space="0" w:color="auto"/>
        <w:left w:val="none" w:sz="0" w:space="0" w:color="auto"/>
        <w:bottom w:val="none" w:sz="0" w:space="0" w:color="auto"/>
        <w:right w:val="none" w:sz="0" w:space="0" w:color="auto"/>
      </w:divBdr>
    </w:div>
    <w:div w:id="287400119">
      <w:marLeft w:val="0"/>
      <w:marRight w:val="0"/>
      <w:marTop w:val="0"/>
      <w:marBottom w:val="0"/>
      <w:divBdr>
        <w:top w:val="none" w:sz="0" w:space="0" w:color="auto"/>
        <w:left w:val="none" w:sz="0" w:space="0" w:color="auto"/>
        <w:bottom w:val="none" w:sz="0" w:space="0" w:color="auto"/>
        <w:right w:val="none" w:sz="0" w:space="0" w:color="auto"/>
      </w:divBdr>
    </w:div>
    <w:div w:id="287400120">
      <w:marLeft w:val="0"/>
      <w:marRight w:val="0"/>
      <w:marTop w:val="0"/>
      <w:marBottom w:val="0"/>
      <w:divBdr>
        <w:top w:val="none" w:sz="0" w:space="0" w:color="auto"/>
        <w:left w:val="none" w:sz="0" w:space="0" w:color="auto"/>
        <w:bottom w:val="none" w:sz="0" w:space="0" w:color="auto"/>
        <w:right w:val="none" w:sz="0" w:space="0" w:color="auto"/>
      </w:divBdr>
    </w:div>
    <w:div w:id="287400121">
      <w:marLeft w:val="0"/>
      <w:marRight w:val="0"/>
      <w:marTop w:val="0"/>
      <w:marBottom w:val="0"/>
      <w:divBdr>
        <w:top w:val="none" w:sz="0" w:space="0" w:color="auto"/>
        <w:left w:val="none" w:sz="0" w:space="0" w:color="auto"/>
        <w:bottom w:val="none" w:sz="0" w:space="0" w:color="auto"/>
        <w:right w:val="none" w:sz="0" w:space="0" w:color="auto"/>
      </w:divBdr>
    </w:div>
    <w:div w:id="287400122">
      <w:marLeft w:val="0"/>
      <w:marRight w:val="0"/>
      <w:marTop w:val="0"/>
      <w:marBottom w:val="0"/>
      <w:divBdr>
        <w:top w:val="none" w:sz="0" w:space="0" w:color="auto"/>
        <w:left w:val="none" w:sz="0" w:space="0" w:color="auto"/>
        <w:bottom w:val="none" w:sz="0" w:space="0" w:color="auto"/>
        <w:right w:val="none" w:sz="0" w:space="0" w:color="auto"/>
      </w:divBdr>
    </w:div>
    <w:div w:id="287400123">
      <w:marLeft w:val="0"/>
      <w:marRight w:val="0"/>
      <w:marTop w:val="0"/>
      <w:marBottom w:val="0"/>
      <w:divBdr>
        <w:top w:val="none" w:sz="0" w:space="0" w:color="auto"/>
        <w:left w:val="none" w:sz="0" w:space="0" w:color="auto"/>
        <w:bottom w:val="none" w:sz="0" w:space="0" w:color="auto"/>
        <w:right w:val="none" w:sz="0" w:space="0" w:color="auto"/>
      </w:divBdr>
    </w:div>
    <w:div w:id="287400124">
      <w:marLeft w:val="0"/>
      <w:marRight w:val="0"/>
      <w:marTop w:val="0"/>
      <w:marBottom w:val="0"/>
      <w:divBdr>
        <w:top w:val="none" w:sz="0" w:space="0" w:color="auto"/>
        <w:left w:val="none" w:sz="0" w:space="0" w:color="auto"/>
        <w:bottom w:val="none" w:sz="0" w:space="0" w:color="auto"/>
        <w:right w:val="none" w:sz="0" w:space="0" w:color="auto"/>
      </w:divBdr>
    </w:div>
    <w:div w:id="287400125">
      <w:marLeft w:val="0"/>
      <w:marRight w:val="0"/>
      <w:marTop w:val="0"/>
      <w:marBottom w:val="0"/>
      <w:divBdr>
        <w:top w:val="none" w:sz="0" w:space="0" w:color="auto"/>
        <w:left w:val="none" w:sz="0" w:space="0" w:color="auto"/>
        <w:bottom w:val="none" w:sz="0" w:space="0" w:color="auto"/>
        <w:right w:val="none" w:sz="0" w:space="0" w:color="auto"/>
      </w:divBdr>
    </w:div>
    <w:div w:id="287400126">
      <w:marLeft w:val="0"/>
      <w:marRight w:val="0"/>
      <w:marTop w:val="0"/>
      <w:marBottom w:val="0"/>
      <w:divBdr>
        <w:top w:val="none" w:sz="0" w:space="0" w:color="auto"/>
        <w:left w:val="none" w:sz="0" w:space="0" w:color="auto"/>
        <w:bottom w:val="none" w:sz="0" w:space="0" w:color="auto"/>
        <w:right w:val="none" w:sz="0" w:space="0" w:color="auto"/>
      </w:divBdr>
    </w:div>
    <w:div w:id="287400127">
      <w:marLeft w:val="0"/>
      <w:marRight w:val="0"/>
      <w:marTop w:val="0"/>
      <w:marBottom w:val="0"/>
      <w:divBdr>
        <w:top w:val="none" w:sz="0" w:space="0" w:color="auto"/>
        <w:left w:val="none" w:sz="0" w:space="0" w:color="auto"/>
        <w:bottom w:val="none" w:sz="0" w:space="0" w:color="auto"/>
        <w:right w:val="none" w:sz="0" w:space="0" w:color="auto"/>
      </w:divBdr>
    </w:div>
    <w:div w:id="287400128">
      <w:marLeft w:val="0"/>
      <w:marRight w:val="0"/>
      <w:marTop w:val="0"/>
      <w:marBottom w:val="0"/>
      <w:divBdr>
        <w:top w:val="none" w:sz="0" w:space="0" w:color="auto"/>
        <w:left w:val="none" w:sz="0" w:space="0" w:color="auto"/>
        <w:bottom w:val="none" w:sz="0" w:space="0" w:color="auto"/>
        <w:right w:val="none" w:sz="0" w:space="0" w:color="auto"/>
      </w:divBdr>
    </w:div>
    <w:div w:id="287400129">
      <w:marLeft w:val="0"/>
      <w:marRight w:val="0"/>
      <w:marTop w:val="0"/>
      <w:marBottom w:val="0"/>
      <w:divBdr>
        <w:top w:val="none" w:sz="0" w:space="0" w:color="auto"/>
        <w:left w:val="none" w:sz="0" w:space="0" w:color="auto"/>
        <w:bottom w:val="none" w:sz="0" w:space="0" w:color="auto"/>
        <w:right w:val="none" w:sz="0" w:space="0" w:color="auto"/>
      </w:divBdr>
    </w:div>
    <w:div w:id="287400130">
      <w:marLeft w:val="0"/>
      <w:marRight w:val="0"/>
      <w:marTop w:val="0"/>
      <w:marBottom w:val="0"/>
      <w:divBdr>
        <w:top w:val="none" w:sz="0" w:space="0" w:color="auto"/>
        <w:left w:val="none" w:sz="0" w:space="0" w:color="auto"/>
        <w:bottom w:val="none" w:sz="0" w:space="0" w:color="auto"/>
        <w:right w:val="none" w:sz="0" w:space="0" w:color="auto"/>
      </w:divBdr>
    </w:div>
    <w:div w:id="287400131">
      <w:marLeft w:val="0"/>
      <w:marRight w:val="0"/>
      <w:marTop w:val="0"/>
      <w:marBottom w:val="0"/>
      <w:divBdr>
        <w:top w:val="none" w:sz="0" w:space="0" w:color="auto"/>
        <w:left w:val="none" w:sz="0" w:space="0" w:color="auto"/>
        <w:bottom w:val="none" w:sz="0" w:space="0" w:color="auto"/>
        <w:right w:val="none" w:sz="0" w:space="0" w:color="auto"/>
      </w:divBdr>
    </w:div>
    <w:div w:id="287400132">
      <w:marLeft w:val="0"/>
      <w:marRight w:val="0"/>
      <w:marTop w:val="0"/>
      <w:marBottom w:val="0"/>
      <w:divBdr>
        <w:top w:val="none" w:sz="0" w:space="0" w:color="auto"/>
        <w:left w:val="none" w:sz="0" w:space="0" w:color="auto"/>
        <w:bottom w:val="none" w:sz="0" w:space="0" w:color="auto"/>
        <w:right w:val="none" w:sz="0" w:space="0" w:color="auto"/>
      </w:divBdr>
    </w:div>
    <w:div w:id="287400133">
      <w:marLeft w:val="0"/>
      <w:marRight w:val="0"/>
      <w:marTop w:val="0"/>
      <w:marBottom w:val="0"/>
      <w:divBdr>
        <w:top w:val="none" w:sz="0" w:space="0" w:color="auto"/>
        <w:left w:val="none" w:sz="0" w:space="0" w:color="auto"/>
        <w:bottom w:val="none" w:sz="0" w:space="0" w:color="auto"/>
        <w:right w:val="none" w:sz="0" w:space="0" w:color="auto"/>
      </w:divBdr>
    </w:div>
    <w:div w:id="287400134">
      <w:marLeft w:val="0"/>
      <w:marRight w:val="0"/>
      <w:marTop w:val="0"/>
      <w:marBottom w:val="0"/>
      <w:divBdr>
        <w:top w:val="none" w:sz="0" w:space="0" w:color="auto"/>
        <w:left w:val="none" w:sz="0" w:space="0" w:color="auto"/>
        <w:bottom w:val="none" w:sz="0" w:space="0" w:color="auto"/>
        <w:right w:val="none" w:sz="0" w:space="0" w:color="auto"/>
      </w:divBdr>
    </w:div>
    <w:div w:id="287400135">
      <w:marLeft w:val="0"/>
      <w:marRight w:val="0"/>
      <w:marTop w:val="0"/>
      <w:marBottom w:val="0"/>
      <w:divBdr>
        <w:top w:val="none" w:sz="0" w:space="0" w:color="auto"/>
        <w:left w:val="none" w:sz="0" w:space="0" w:color="auto"/>
        <w:bottom w:val="none" w:sz="0" w:space="0" w:color="auto"/>
        <w:right w:val="none" w:sz="0" w:space="0" w:color="auto"/>
      </w:divBdr>
    </w:div>
    <w:div w:id="287400136">
      <w:marLeft w:val="0"/>
      <w:marRight w:val="0"/>
      <w:marTop w:val="0"/>
      <w:marBottom w:val="0"/>
      <w:divBdr>
        <w:top w:val="none" w:sz="0" w:space="0" w:color="auto"/>
        <w:left w:val="none" w:sz="0" w:space="0" w:color="auto"/>
        <w:bottom w:val="none" w:sz="0" w:space="0" w:color="auto"/>
        <w:right w:val="none" w:sz="0" w:space="0" w:color="auto"/>
      </w:divBdr>
    </w:div>
    <w:div w:id="287400137">
      <w:marLeft w:val="0"/>
      <w:marRight w:val="0"/>
      <w:marTop w:val="0"/>
      <w:marBottom w:val="0"/>
      <w:divBdr>
        <w:top w:val="none" w:sz="0" w:space="0" w:color="auto"/>
        <w:left w:val="none" w:sz="0" w:space="0" w:color="auto"/>
        <w:bottom w:val="none" w:sz="0" w:space="0" w:color="auto"/>
        <w:right w:val="none" w:sz="0" w:space="0" w:color="auto"/>
      </w:divBdr>
    </w:div>
    <w:div w:id="287400138">
      <w:marLeft w:val="0"/>
      <w:marRight w:val="0"/>
      <w:marTop w:val="0"/>
      <w:marBottom w:val="0"/>
      <w:divBdr>
        <w:top w:val="none" w:sz="0" w:space="0" w:color="auto"/>
        <w:left w:val="none" w:sz="0" w:space="0" w:color="auto"/>
        <w:bottom w:val="none" w:sz="0" w:space="0" w:color="auto"/>
        <w:right w:val="none" w:sz="0" w:space="0" w:color="auto"/>
      </w:divBdr>
    </w:div>
    <w:div w:id="287400139">
      <w:marLeft w:val="0"/>
      <w:marRight w:val="0"/>
      <w:marTop w:val="0"/>
      <w:marBottom w:val="0"/>
      <w:divBdr>
        <w:top w:val="none" w:sz="0" w:space="0" w:color="auto"/>
        <w:left w:val="none" w:sz="0" w:space="0" w:color="auto"/>
        <w:bottom w:val="none" w:sz="0" w:space="0" w:color="auto"/>
        <w:right w:val="none" w:sz="0" w:space="0" w:color="auto"/>
      </w:divBdr>
    </w:div>
    <w:div w:id="287400140">
      <w:marLeft w:val="0"/>
      <w:marRight w:val="0"/>
      <w:marTop w:val="0"/>
      <w:marBottom w:val="0"/>
      <w:divBdr>
        <w:top w:val="none" w:sz="0" w:space="0" w:color="auto"/>
        <w:left w:val="none" w:sz="0" w:space="0" w:color="auto"/>
        <w:bottom w:val="none" w:sz="0" w:space="0" w:color="auto"/>
        <w:right w:val="none" w:sz="0" w:space="0" w:color="auto"/>
      </w:divBdr>
    </w:div>
    <w:div w:id="287400141">
      <w:marLeft w:val="0"/>
      <w:marRight w:val="0"/>
      <w:marTop w:val="0"/>
      <w:marBottom w:val="0"/>
      <w:divBdr>
        <w:top w:val="none" w:sz="0" w:space="0" w:color="auto"/>
        <w:left w:val="none" w:sz="0" w:space="0" w:color="auto"/>
        <w:bottom w:val="none" w:sz="0" w:space="0" w:color="auto"/>
        <w:right w:val="none" w:sz="0" w:space="0" w:color="auto"/>
      </w:divBdr>
    </w:div>
    <w:div w:id="287400142">
      <w:marLeft w:val="0"/>
      <w:marRight w:val="0"/>
      <w:marTop w:val="0"/>
      <w:marBottom w:val="0"/>
      <w:divBdr>
        <w:top w:val="none" w:sz="0" w:space="0" w:color="auto"/>
        <w:left w:val="none" w:sz="0" w:space="0" w:color="auto"/>
        <w:bottom w:val="none" w:sz="0" w:space="0" w:color="auto"/>
        <w:right w:val="none" w:sz="0" w:space="0" w:color="auto"/>
      </w:divBdr>
    </w:div>
    <w:div w:id="287400143">
      <w:marLeft w:val="0"/>
      <w:marRight w:val="0"/>
      <w:marTop w:val="0"/>
      <w:marBottom w:val="0"/>
      <w:divBdr>
        <w:top w:val="none" w:sz="0" w:space="0" w:color="auto"/>
        <w:left w:val="none" w:sz="0" w:space="0" w:color="auto"/>
        <w:bottom w:val="none" w:sz="0" w:space="0" w:color="auto"/>
        <w:right w:val="none" w:sz="0" w:space="0" w:color="auto"/>
      </w:divBdr>
    </w:div>
    <w:div w:id="287400144">
      <w:marLeft w:val="0"/>
      <w:marRight w:val="0"/>
      <w:marTop w:val="0"/>
      <w:marBottom w:val="0"/>
      <w:divBdr>
        <w:top w:val="none" w:sz="0" w:space="0" w:color="auto"/>
        <w:left w:val="none" w:sz="0" w:space="0" w:color="auto"/>
        <w:bottom w:val="none" w:sz="0" w:space="0" w:color="auto"/>
        <w:right w:val="none" w:sz="0" w:space="0" w:color="auto"/>
      </w:divBdr>
    </w:div>
    <w:div w:id="287400145">
      <w:marLeft w:val="0"/>
      <w:marRight w:val="0"/>
      <w:marTop w:val="0"/>
      <w:marBottom w:val="0"/>
      <w:divBdr>
        <w:top w:val="none" w:sz="0" w:space="0" w:color="auto"/>
        <w:left w:val="none" w:sz="0" w:space="0" w:color="auto"/>
        <w:bottom w:val="none" w:sz="0" w:space="0" w:color="auto"/>
        <w:right w:val="none" w:sz="0" w:space="0" w:color="auto"/>
      </w:divBdr>
    </w:div>
    <w:div w:id="287400146">
      <w:marLeft w:val="0"/>
      <w:marRight w:val="0"/>
      <w:marTop w:val="0"/>
      <w:marBottom w:val="0"/>
      <w:divBdr>
        <w:top w:val="none" w:sz="0" w:space="0" w:color="auto"/>
        <w:left w:val="none" w:sz="0" w:space="0" w:color="auto"/>
        <w:bottom w:val="none" w:sz="0" w:space="0" w:color="auto"/>
        <w:right w:val="none" w:sz="0" w:space="0" w:color="auto"/>
      </w:divBdr>
    </w:div>
    <w:div w:id="287400147">
      <w:marLeft w:val="0"/>
      <w:marRight w:val="0"/>
      <w:marTop w:val="0"/>
      <w:marBottom w:val="0"/>
      <w:divBdr>
        <w:top w:val="none" w:sz="0" w:space="0" w:color="auto"/>
        <w:left w:val="none" w:sz="0" w:space="0" w:color="auto"/>
        <w:bottom w:val="none" w:sz="0" w:space="0" w:color="auto"/>
        <w:right w:val="none" w:sz="0" w:space="0" w:color="auto"/>
      </w:divBdr>
    </w:div>
    <w:div w:id="287400148">
      <w:marLeft w:val="0"/>
      <w:marRight w:val="0"/>
      <w:marTop w:val="0"/>
      <w:marBottom w:val="0"/>
      <w:divBdr>
        <w:top w:val="none" w:sz="0" w:space="0" w:color="auto"/>
        <w:left w:val="none" w:sz="0" w:space="0" w:color="auto"/>
        <w:bottom w:val="none" w:sz="0" w:space="0" w:color="auto"/>
        <w:right w:val="none" w:sz="0" w:space="0" w:color="auto"/>
      </w:divBdr>
    </w:div>
    <w:div w:id="287400149">
      <w:marLeft w:val="0"/>
      <w:marRight w:val="0"/>
      <w:marTop w:val="0"/>
      <w:marBottom w:val="0"/>
      <w:divBdr>
        <w:top w:val="none" w:sz="0" w:space="0" w:color="auto"/>
        <w:left w:val="none" w:sz="0" w:space="0" w:color="auto"/>
        <w:bottom w:val="none" w:sz="0" w:space="0" w:color="auto"/>
        <w:right w:val="none" w:sz="0" w:space="0" w:color="auto"/>
      </w:divBdr>
    </w:div>
    <w:div w:id="287400150">
      <w:marLeft w:val="0"/>
      <w:marRight w:val="0"/>
      <w:marTop w:val="0"/>
      <w:marBottom w:val="0"/>
      <w:divBdr>
        <w:top w:val="none" w:sz="0" w:space="0" w:color="auto"/>
        <w:left w:val="none" w:sz="0" w:space="0" w:color="auto"/>
        <w:bottom w:val="none" w:sz="0" w:space="0" w:color="auto"/>
        <w:right w:val="none" w:sz="0" w:space="0" w:color="auto"/>
      </w:divBdr>
    </w:div>
    <w:div w:id="287400151">
      <w:marLeft w:val="0"/>
      <w:marRight w:val="0"/>
      <w:marTop w:val="0"/>
      <w:marBottom w:val="0"/>
      <w:divBdr>
        <w:top w:val="none" w:sz="0" w:space="0" w:color="auto"/>
        <w:left w:val="none" w:sz="0" w:space="0" w:color="auto"/>
        <w:bottom w:val="none" w:sz="0" w:space="0" w:color="auto"/>
        <w:right w:val="none" w:sz="0" w:space="0" w:color="auto"/>
      </w:divBdr>
    </w:div>
    <w:div w:id="287400152">
      <w:marLeft w:val="0"/>
      <w:marRight w:val="0"/>
      <w:marTop w:val="0"/>
      <w:marBottom w:val="0"/>
      <w:divBdr>
        <w:top w:val="none" w:sz="0" w:space="0" w:color="auto"/>
        <w:left w:val="none" w:sz="0" w:space="0" w:color="auto"/>
        <w:bottom w:val="none" w:sz="0" w:space="0" w:color="auto"/>
        <w:right w:val="none" w:sz="0" w:space="0" w:color="auto"/>
      </w:divBdr>
    </w:div>
    <w:div w:id="287400153">
      <w:marLeft w:val="0"/>
      <w:marRight w:val="0"/>
      <w:marTop w:val="0"/>
      <w:marBottom w:val="0"/>
      <w:divBdr>
        <w:top w:val="none" w:sz="0" w:space="0" w:color="auto"/>
        <w:left w:val="none" w:sz="0" w:space="0" w:color="auto"/>
        <w:bottom w:val="none" w:sz="0" w:space="0" w:color="auto"/>
        <w:right w:val="none" w:sz="0" w:space="0" w:color="auto"/>
      </w:divBdr>
    </w:div>
    <w:div w:id="287400154">
      <w:marLeft w:val="0"/>
      <w:marRight w:val="0"/>
      <w:marTop w:val="0"/>
      <w:marBottom w:val="0"/>
      <w:divBdr>
        <w:top w:val="none" w:sz="0" w:space="0" w:color="auto"/>
        <w:left w:val="none" w:sz="0" w:space="0" w:color="auto"/>
        <w:bottom w:val="none" w:sz="0" w:space="0" w:color="auto"/>
        <w:right w:val="none" w:sz="0" w:space="0" w:color="auto"/>
      </w:divBdr>
    </w:div>
    <w:div w:id="287400155">
      <w:marLeft w:val="0"/>
      <w:marRight w:val="0"/>
      <w:marTop w:val="0"/>
      <w:marBottom w:val="0"/>
      <w:divBdr>
        <w:top w:val="none" w:sz="0" w:space="0" w:color="auto"/>
        <w:left w:val="none" w:sz="0" w:space="0" w:color="auto"/>
        <w:bottom w:val="none" w:sz="0" w:space="0" w:color="auto"/>
        <w:right w:val="none" w:sz="0" w:space="0" w:color="auto"/>
      </w:divBdr>
    </w:div>
    <w:div w:id="287400156">
      <w:marLeft w:val="0"/>
      <w:marRight w:val="0"/>
      <w:marTop w:val="0"/>
      <w:marBottom w:val="0"/>
      <w:divBdr>
        <w:top w:val="none" w:sz="0" w:space="0" w:color="auto"/>
        <w:left w:val="none" w:sz="0" w:space="0" w:color="auto"/>
        <w:bottom w:val="none" w:sz="0" w:space="0" w:color="auto"/>
        <w:right w:val="none" w:sz="0" w:space="0" w:color="auto"/>
      </w:divBdr>
    </w:div>
    <w:div w:id="287400157">
      <w:marLeft w:val="0"/>
      <w:marRight w:val="0"/>
      <w:marTop w:val="0"/>
      <w:marBottom w:val="0"/>
      <w:divBdr>
        <w:top w:val="none" w:sz="0" w:space="0" w:color="auto"/>
        <w:left w:val="none" w:sz="0" w:space="0" w:color="auto"/>
        <w:bottom w:val="none" w:sz="0" w:space="0" w:color="auto"/>
        <w:right w:val="none" w:sz="0" w:space="0" w:color="auto"/>
      </w:divBdr>
    </w:div>
    <w:div w:id="287400158">
      <w:marLeft w:val="0"/>
      <w:marRight w:val="0"/>
      <w:marTop w:val="0"/>
      <w:marBottom w:val="0"/>
      <w:divBdr>
        <w:top w:val="none" w:sz="0" w:space="0" w:color="auto"/>
        <w:left w:val="none" w:sz="0" w:space="0" w:color="auto"/>
        <w:bottom w:val="none" w:sz="0" w:space="0" w:color="auto"/>
        <w:right w:val="none" w:sz="0" w:space="0" w:color="auto"/>
      </w:divBdr>
    </w:div>
    <w:div w:id="287400159">
      <w:marLeft w:val="0"/>
      <w:marRight w:val="0"/>
      <w:marTop w:val="0"/>
      <w:marBottom w:val="0"/>
      <w:divBdr>
        <w:top w:val="none" w:sz="0" w:space="0" w:color="auto"/>
        <w:left w:val="none" w:sz="0" w:space="0" w:color="auto"/>
        <w:bottom w:val="none" w:sz="0" w:space="0" w:color="auto"/>
        <w:right w:val="none" w:sz="0" w:space="0" w:color="auto"/>
      </w:divBdr>
    </w:div>
    <w:div w:id="287400160">
      <w:marLeft w:val="0"/>
      <w:marRight w:val="0"/>
      <w:marTop w:val="0"/>
      <w:marBottom w:val="0"/>
      <w:divBdr>
        <w:top w:val="none" w:sz="0" w:space="0" w:color="auto"/>
        <w:left w:val="none" w:sz="0" w:space="0" w:color="auto"/>
        <w:bottom w:val="none" w:sz="0" w:space="0" w:color="auto"/>
        <w:right w:val="none" w:sz="0" w:space="0" w:color="auto"/>
      </w:divBdr>
    </w:div>
    <w:div w:id="287400161">
      <w:marLeft w:val="0"/>
      <w:marRight w:val="0"/>
      <w:marTop w:val="0"/>
      <w:marBottom w:val="0"/>
      <w:divBdr>
        <w:top w:val="none" w:sz="0" w:space="0" w:color="auto"/>
        <w:left w:val="none" w:sz="0" w:space="0" w:color="auto"/>
        <w:bottom w:val="none" w:sz="0" w:space="0" w:color="auto"/>
        <w:right w:val="none" w:sz="0" w:space="0" w:color="auto"/>
      </w:divBdr>
    </w:div>
    <w:div w:id="287400162">
      <w:marLeft w:val="0"/>
      <w:marRight w:val="0"/>
      <w:marTop w:val="0"/>
      <w:marBottom w:val="0"/>
      <w:divBdr>
        <w:top w:val="none" w:sz="0" w:space="0" w:color="auto"/>
        <w:left w:val="none" w:sz="0" w:space="0" w:color="auto"/>
        <w:bottom w:val="none" w:sz="0" w:space="0" w:color="auto"/>
        <w:right w:val="none" w:sz="0" w:space="0" w:color="auto"/>
      </w:divBdr>
    </w:div>
    <w:div w:id="287400163">
      <w:marLeft w:val="0"/>
      <w:marRight w:val="0"/>
      <w:marTop w:val="0"/>
      <w:marBottom w:val="0"/>
      <w:divBdr>
        <w:top w:val="none" w:sz="0" w:space="0" w:color="auto"/>
        <w:left w:val="none" w:sz="0" w:space="0" w:color="auto"/>
        <w:bottom w:val="none" w:sz="0" w:space="0" w:color="auto"/>
        <w:right w:val="none" w:sz="0" w:space="0" w:color="auto"/>
      </w:divBdr>
    </w:div>
    <w:div w:id="287400164">
      <w:marLeft w:val="0"/>
      <w:marRight w:val="0"/>
      <w:marTop w:val="0"/>
      <w:marBottom w:val="0"/>
      <w:divBdr>
        <w:top w:val="none" w:sz="0" w:space="0" w:color="auto"/>
        <w:left w:val="none" w:sz="0" w:space="0" w:color="auto"/>
        <w:bottom w:val="none" w:sz="0" w:space="0" w:color="auto"/>
        <w:right w:val="none" w:sz="0" w:space="0" w:color="auto"/>
      </w:divBdr>
    </w:div>
    <w:div w:id="287400165">
      <w:marLeft w:val="0"/>
      <w:marRight w:val="0"/>
      <w:marTop w:val="0"/>
      <w:marBottom w:val="0"/>
      <w:divBdr>
        <w:top w:val="none" w:sz="0" w:space="0" w:color="auto"/>
        <w:left w:val="none" w:sz="0" w:space="0" w:color="auto"/>
        <w:bottom w:val="none" w:sz="0" w:space="0" w:color="auto"/>
        <w:right w:val="none" w:sz="0" w:space="0" w:color="auto"/>
      </w:divBdr>
    </w:div>
    <w:div w:id="287400166">
      <w:marLeft w:val="0"/>
      <w:marRight w:val="0"/>
      <w:marTop w:val="0"/>
      <w:marBottom w:val="0"/>
      <w:divBdr>
        <w:top w:val="none" w:sz="0" w:space="0" w:color="auto"/>
        <w:left w:val="none" w:sz="0" w:space="0" w:color="auto"/>
        <w:bottom w:val="none" w:sz="0" w:space="0" w:color="auto"/>
        <w:right w:val="none" w:sz="0" w:space="0" w:color="auto"/>
      </w:divBdr>
    </w:div>
    <w:div w:id="287400167">
      <w:marLeft w:val="0"/>
      <w:marRight w:val="0"/>
      <w:marTop w:val="0"/>
      <w:marBottom w:val="0"/>
      <w:divBdr>
        <w:top w:val="none" w:sz="0" w:space="0" w:color="auto"/>
        <w:left w:val="none" w:sz="0" w:space="0" w:color="auto"/>
        <w:bottom w:val="none" w:sz="0" w:space="0" w:color="auto"/>
        <w:right w:val="none" w:sz="0" w:space="0" w:color="auto"/>
      </w:divBdr>
    </w:div>
    <w:div w:id="287400168">
      <w:marLeft w:val="0"/>
      <w:marRight w:val="0"/>
      <w:marTop w:val="0"/>
      <w:marBottom w:val="0"/>
      <w:divBdr>
        <w:top w:val="none" w:sz="0" w:space="0" w:color="auto"/>
        <w:left w:val="none" w:sz="0" w:space="0" w:color="auto"/>
        <w:bottom w:val="none" w:sz="0" w:space="0" w:color="auto"/>
        <w:right w:val="none" w:sz="0" w:space="0" w:color="auto"/>
      </w:divBdr>
    </w:div>
    <w:div w:id="287400169">
      <w:marLeft w:val="0"/>
      <w:marRight w:val="0"/>
      <w:marTop w:val="0"/>
      <w:marBottom w:val="0"/>
      <w:divBdr>
        <w:top w:val="none" w:sz="0" w:space="0" w:color="auto"/>
        <w:left w:val="none" w:sz="0" w:space="0" w:color="auto"/>
        <w:bottom w:val="none" w:sz="0" w:space="0" w:color="auto"/>
        <w:right w:val="none" w:sz="0" w:space="0" w:color="auto"/>
      </w:divBdr>
    </w:div>
    <w:div w:id="287400170">
      <w:marLeft w:val="0"/>
      <w:marRight w:val="0"/>
      <w:marTop w:val="0"/>
      <w:marBottom w:val="0"/>
      <w:divBdr>
        <w:top w:val="none" w:sz="0" w:space="0" w:color="auto"/>
        <w:left w:val="none" w:sz="0" w:space="0" w:color="auto"/>
        <w:bottom w:val="none" w:sz="0" w:space="0" w:color="auto"/>
        <w:right w:val="none" w:sz="0" w:space="0" w:color="auto"/>
      </w:divBdr>
    </w:div>
    <w:div w:id="287400171">
      <w:marLeft w:val="0"/>
      <w:marRight w:val="0"/>
      <w:marTop w:val="0"/>
      <w:marBottom w:val="0"/>
      <w:divBdr>
        <w:top w:val="none" w:sz="0" w:space="0" w:color="auto"/>
        <w:left w:val="none" w:sz="0" w:space="0" w:color="auto"/>
        <w:bottom w:val="none" w:sz="0" w:space="0" w:color="auto"/>
        <w:right w:val="none" w:sz="0" w:space="0" w:color="auto"/>
      </w:divBdr>
    </w:div>
    <w:div w:id="287400172">
      <w:marLeft w:val="0"/>
      <w:marRight w:val="0"/>
      <w:marTop w:val="0"/>
      <w:marBottom w:val="0"/>
      <w:divBdr>
        <w:top w:val="none" w:sz="0" w:space="0" w:color="auto"/>
        <w:left w:val="none" w:sz="0" w:space="0" w:color="auto"/>
        <w:bottom w:val="none" w:sz="0" w:space="0" w:color="auto"/>
        <w:right w:val="none" w:sz="0" w:space="0" w:color="auto"/>
      </w:divBdr>
    </w:div>
    <w:div w:id="287400173">
      <w:marLeft w:val="0"/>
      <w:marRight w:val="0"/>
      <w:marTop w:val="0"/>
      <w:marBottom w:val="0"/>
      <w:divBdr>
        <w:top w:val="none" w:sz="0" w:space="0" w:color="auto"/>
        <w:left w:val="none" w:sz="0" w:space="0" w:color="auto"/>
        <w:bottom w:val="none" w:sz="0" w:space="0" w:color="auto"/>
        <w:right w:val="none" w:sz="0" w:space="0" w:color="auto"/>
      </w:divBdr>
    </w:div>
    <w:div w:id="1384794504">
      <w:bodyDiv w:val="1"/>
      <w:marLeft w:val="0"/>
      <w:marRight w:val="0"/>
      <w:marTop w:val="0"/>
      <w:marBottom w:val="0"/>
      <w:divBdr>
        <w:top w:val="none" w:sz="0" w:space="0" w:color="auto"/>
        <w:left w:val="none" w:sz="0" w:space="0" w:color="auto"/>
        <w:bottom w:val="none" w:sz="0" w:space="0" w:color="auto"/>
        <w:right w:val="none" w:sz="0" w:space="0" w:color="auto"/>
      </w:divBdr>
    </w:div>
    <w:div w:id="1493521059">
      <w:bodyDiv w:val="1"/>
      <w:marLeft w:val="0"/>
      <w:marRight w:val="0"/>
      <w:marTop w:val="0"/>
      <w:marBottom w:val="0"/>
      <w:divBdr>
        <w:top w:val="none" w:sz="0" w:space="0" w:color="auto"/>
        <w:left w:val="none" w:sz="0" w:space="0" w:color="auto"/>
        <w:bottom w:val="none" w:sz="0" w:space="0" w:color="auto"/>
        <w:right w:val="none" w:sz="0" w:space="0" w:color="auto"/>
      </w:divBdr>
    </w:div>
    <w:div w:id="1953367048">
      <w:bodyDiv w:val="1"/>
      <w:marLeft w:val="0"/>
      <w:marRight w:val="0"/>
      <w:marTop w:val="0"/>
      <w:marBottom w:val="0"/>
      <w:divBdr>
        <w:top w:val="none" w:sz="0" w:space="0" w:color="auto"/>
        <w:left w:val="none" w:sz="0" w:space="0" w:color="auto"/>
        <w:bottom w:val="none" w:sz="0" w:space="0" w:color="auto"/>
        <w:right w:val="none" w:sz="0" w:space="0" w:color="auto"/>
      </w:divBdr>
    </w:div>
    <w:div w:id="2091924233">
      <w:bodyDiv w:val="1"/>
      <w:marLeft w:val="0"/>
      <w:marRight w:val="0"/>
      <w:marTop w:val="0"/>
      <w:marBottom w:val="0"/>
      <w:divBdr>
        <w:top w:val="none" w:sz="0" w:space="0" w:color="auto"/>
        <w:left w:val="none" w:sz="0" w:space="0" w:color="auto"/>
        <w:bottom w:val="none" w:sz="0" w:space="0" w:color="auto"/>
        <w:right w:val="none" w:sz="0" w:space="0" w:color="auto"/>
      </w:divBdr>
    </w:div>
    <w:div w:id="2141921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3923</TotalTime>
  <Pages>16</Pages>
  <Words>4669</Words>
  <Characters>27550</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01</vt:lpstr>
    </vt:vector>
  </TitlesOfParts>
  <Company>4D</Company>
  <LinksUpToDate>false</LinksUpToDate>
  <CharactersWithSpaces>32155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dc:title>
  <dc:subject/>
  <dc:creator>Josef Gabrhel</dc:creator>
  <cp:keywords/>
  <dc:description/>
  <cp:lastModifiedBy>Říha Stanislav</cp:lastModifiedBy>
  <cp:revision>239</cp:revision>
  <cp:lastPrinted>2018-02-28T10:15:00Z</cp:lastPrinted>
  <dcterms:created xsi:type="dcterms:W3CDTF">2019-05-09T08:29:00Z</dcterms:created>
  <dcterms:modified xsi:type="dcterms:W3CDTF">2022-08-15T09:11:00Z</dcterms:modified>
</cp:coreProperties>
</file>